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1.1 -->
  <w:body>
    <w:p w:rsidR="009F5F5B" w:rsidP="009F5F5B" w14:paraId="39825C16" w14:textId="666B3E34">
      <w:pPr>
        <w:spacing w:after="240"/>
        <w:jc w:val="both"/>
        <w:rPr>
          <w:i/>
          <w:sz w:val="18"/>
        </w:rPr>
      </w:pPr>
      <w:r>
        <w:rPr>
          <w:i/>
          <w:sz w:val="18"/>
        </w:rPr>
        <w:t>This</w:t>
      </w:r>
      <w:r w:rsidR="00590C86">
        <w:rPr>
          <w:i/>
          <w:sz w:val="18"/>
        </w:rPr>
        <w:t xml:space="preserve"> </w:t>
      </w:r>
      <w:r w:rsidRPr="001675DB">
        <w:rPr>
          <w:i/>
          <w:sz w:val="18"/>
        </w:rPr>
        <w:t>offering</w:t>
      </w:r>
      <w:r>
        <w:rPr>
          <w:i/>
          <w:sz w:val="18"/>
        </w:rPr>
        <w:t xml:space="preserve"> </w:t>
      </w:r>
      <w:r w:rsidRPr="001675DB">
        <w:rPr>
          <w:i/>
          <w:sz w:val="18"/>
        </w:rPr>
        <w:t xml:space="preserve">document </w:t>
      </w:r>
      <w:r>
        <w:rPr>
          <w:i/>
          <w:sz w:val="18"/>
        </w:rPr>
        <w:t xml:space="preserve">pursuant to </w:t>
      </w:r>
      <w:r w:rsidRPr="001675DB">
        <w:rPr>
          <w:i/>
          <w:sz w:val="18"/>
        </w:rPr>
        <w:t>the listed i</w:t>
      </w:r>
      <w:r>
        <w:rPr>
          <w:i/>
          <w:sz w:val="18"/>
        </w:rPr>
        <w:t xml:space="preserve">ssuer financing exemption </w:t>
      </w:r>
      <w:r w:rsidRPr="00E771C4">
        <w:rPr>
          <w:i/>
          <w:sz w:val="18"/>
        </w:rPr>
        <w:t>under section 5A.2 of National Instrument 45-106 – Prospectus Exemptions</w:t>
      </w:r>
      <w:r>
        <w:rPr>
          <w:i/>
          <w:sz w:val="18"/>
        </w:rPr>
        <w:t xml:space="preserve"> (the </w:t>
      </w:r>
      <w:r w:rsidR="00782D24">
        <w:rPr>
          <w:i/>
          <w:sz w:val="18"/>
        </w:rPr>
        <w:t>“</w:t>
      </w:r>
      <w:r w:rsidRPr="001675DB">
        <w:rPr>
          <w:b/>
          <w:i/>
          <w:sz w:val="18"/>
        </w:rPr>
        <w:t>Offering Document</w:t>
      </w:r>
      <w:r w:rsidR="00782D24">
        <w:rPr>
          <w:i/>
          <w:sz w:val="18"/>
        </w:rPr>
        <w:t>”</w:t>
      </w:r>
      <w:r w:rsidRPr="001675DB">
        <w:rPr>
          <w:i/>
          <w:sz w:val="18"/>
        </w:rPr>
        <w:t xml:space="preserve">) </w:t>
      </w:r>
      <w:r>
        <w:rPr>
          <w:i/>
          <w:sz w:val="18"/>
        </w:rPr>
        <w:t xml:space="preserve">constitutes an offering of these securities only in those jurisdictions where they may be lawfully offered for sale and therein only by persons permitted to sell such securities and to those persons whom they may be lawfully offered for sale. </w:t>
      </w:r>
      <w:r w:rsidRPr="001675DB">
        <w:rPr>
          <w:i/>
          <w:sz w:val="18"/>
        </w:rPr>
        <w:t xml:space="preserve">The securities offered under this </w:t>
      </w:r>
      <w:r w:rsidRPr="00027FEF">
        <w:rPr>
          <w:bCs/>
          <w:i/>
          <w:sz w:val="18"/>
        </w:rPr>
        <w:t>Offering Document</w:t>
      </w:r>
      <w:r w:rsidRPr="001675DB">
        <w:rPr>
          <w:i/>
          <w:sz w:val="18"/>
        </w:rPr>
        <w:t xml:space="preserve"> have not been, and will not be, registered under the</w:t>
      </w:r>
      <w:r>
        <w:rPr>
          <w:i/>
          <w:sz w:val="18"/>
        </w:rPr>
        <w:t xml:space="preserve"> </w:t>
      </w:r>
      <w:r w:rsidRPr="001675DB">
        <w:rPr>
          <w:i/>
          <w:sz w:val="18"/>
        </w:rPr>
        <w:t>United States Securitie</w:t>
      </w:r>
      <w:r>
        <w:rPr>
          <w:i/>
          <w:sz w:val="18"/>
        </w:rPr>
        <w:t xml:space="preserve">s Act of 1933, as amended (the </w:t>
      </w:r>
      <w:r w:rsidR="00782D24">
        <w:rPr>
          <w:i/>
          <w:sz w:val="18"/>
        </w:rPr>
        <w:t>“</w:t>
      </w:r>
      <w:r w:rsidRPr="001675DB">
        <w:rPr>
          <w:b/>
          <w:i/>
          <w:sz w:val="18"/>
        </w:rPr>
        <w:t>U.S. Securities Act</w:t>
      </w:r>
      <w:r w:rsidR="00782D24">
        <w:rPr>
          <w:i/>
          <w:sz w:val="18"/>
        </w:rPr>
        <w:t>”</w:t>
      </w:r>
      <w:r w:rsidRPr="001675DB">
        <w:rPr>
          <w:i/>
          <w:sz w:val="18"/>
        </w:rPr>
        <w:t>), or any state securities laws, and may not be offered or sold</w:t>
      </w:r>
      <w:r>
        <w:rPr>
          <w:i/>
          <w:sz w:val="18"/>
        </w:rPr>
        <w:t xml:space="preserve"> </w:t>
      </w:r>
      <w:r w:rsidRPr="001675DB">
        <w:rPr>
          <w:i/>
          <w:sz w:val="18"/>
        </w:rPr>
        <w:t>within the United States or to, or for the account or benefit of, U.S. Persons or persons in the United States except pursuant to an</w:t>
      </w:r>
      <w:r>
        <w:rPr>
          <w:i/>
          <w:sz w:val="18"/>
        </w:rPr>
        <w:t xml:space="preserve"> </w:t>
      </w:r>
      <w:r w:rsidRPr="001675DB">
        <w:rPr>
          <w:i/>
          <w:sz w:val="18"/>
        </w:rPr>
        <w:t>exemption from the registration requirements of the U.S. Securities Act and applicable state securities laws. This Offering Document does</w:t>
      </w:r>
      <w:r>
        <w:rPr>
          <w:i/>
          <w:sz w:val="18"/>
        </w:rPr>
        <w:t xml:space="preserve"> </w:t>
      </w:r>
      <w:r w:rsidRPr="001675DB">
        <w:rPr>
          <w:i/>
          <w:sz w:val="18"/>
        </w:rPr>
        <w:t>not constitute an offer to sell or a solicitation of an offer to buy any of the securities offered hereby within the United States or to, or for</w:t>
      </w:r>
      <w:r>
        <w:rPr>
          <w:i/>
          <w:sz w:val="18"/>
        </w:rPr>
        <w:t xml:space="preserve"> </w:t>
      </w:r>
      <w:r w:rsidRPr="001675DB">
        <w:rPr>
          <w:i/>
          <w:sz w:val="18"/>
        </w:rPr>
        <w:t xml:space="preserve">the benefit of, U.S. persons </w:t>
      </w:r>
      <w:r>
        <w:rPr>
          <w:i/>
          <w:sz w:val="18"/>
        </w:rPr>
        <w:t xml:space="preserve">or persons in the United States. </w:t>
      </w:r>
      <w:r w:rsidR="00782D24">
        <w:rPr>
          <w:i/>
          <w:sz w:val="18"/>
        </w:rPr>
        <w:t>“</w:t>
      </w:r>
      <w:r w:rsidRPr="005344D5">
        <w:rPr>
          <w:b/>
          <w:i/>
          <w:sz w:val="18"/>
        </w:rPr>
        <w:t>United States</w:t>
      </w:r>
      <w:r w:rsidR="00782D24">
        <w:rPr>
          <w:i/>
          <w:sz w:val="18"/>
        </w:rPr>
        <w:t>”</w:t>
      </w:r>
      <w:r>
        <w:rPr>
          <w:i/>
          <w:sz w:val="18"/>
        </w:rPr>
        <w:t xml:space="preserve"> and </w:t>
      </w:r>
      <w:r w:rsidR="00782D24">
        <w:rPr>
          <w:i/>
          <w:sz w:val="18"/>
        </w:rPr>
        <w:t>“</w:t>
      </w:r>
      <w:r w:rsidRPr="005344D5">
        <w:rPr>
          <w:b/>
          <w:i/>
          <w:sz w:val="18"/>
        </w:rPr>
        <w:t>U.S. Person</w:t>
      </w:r>
      <w:r w:rsidR="00782D24">
        <w:rPr>
          <w:i/>
          <w:sz w:val="18"/>
        </w:rPr>
        <w:t>”</w:t>
      </w:r>
      <w:r w:rsidRPr="001675DB">
        <w:rPr>
          <w:i/>
          <w:sz w:val="18"/>
        </w:rPr>
        <w:t xml:space="preserve"> have the meanings ascribed to them in</w:t>
      </w:r>
      <w:r>
        <w:rPr>
          <w:i/>
          <w:sz w:val="18"/>
        </w:rPr>
        <w:t xml:space="preserve"> </w:t>
      </w:r>
      <w:r w:rsidRPr="001675DB">
        <w:rPr>
          <w:i/>
          <w:sz w:val="18"/>
        </w:rPr>
        <w:t>Regulation S under the U.S. Securities Act.</w:t>
      </w:r>
    </w:p>
    <w:p w:rsidR="001F1B45" w:rsidRPr="00BC25C1" w:rsidP="002F092B" w14:paraId="001A80B4" w14:textId="52074C18">
      <w:pPr>
        <w:spacing w:after="240"/>
        <w:jc w:val="both"/>
        <w:rPr>
          <w:i/>
          <w:sz w:val="18"/>
        </w:rPr>
      </w:pPr>
      <w:r w:rsidRPr="001F1B45">
        <w:rPr>
          <w:rFonts w:ascii="Arial-BoldItalicMT"/>
          <w:b/>
          <w:i/>
          <w:sz w:val="18"/>
          <w:szCs w:val="18"/>
        </w:rPr>
        <w:t>No securities regulatory authority or regulator has assessed the merits of these securities or reviewed</w:t>
      </w:r>
      <w:r w:rsidRPr="001F1B45">
        <w:rPr>
          <w:rFonts w:ascii="Arial-BoldItalicMT"/>
          <w:b/>
          <w:i/>
          <w:spacing w:val="-5"/>
          <w:sz w:val="18"/>
          <w:szCs w:val="18"/>
        </w:rPr>
        <w:t xml:space="preserve"> </w:t>
      </w:r>
      <w:r w:rsidRPr="001F1B45">
        <w:rPr>
          <w:rFonts w:ascii="Arial-BoldItalicMT"/>
          <w:b/>
          <w:i/>
          <w:sz w:val="18"/>
          <w:szCs w:val="18"/>
        </w:rPr>
        <w:t>this</w:t>
      </w:r>
      <w:r w:rsidRPr="001F1B45">
        <w:rPr>
          <w:rFonts w:ascii="Arial-BoldItalicMT"/>
          <w:b/>
          <w:i/>
          <w:spacing w:val="-4"/>
          <w:sz w:val="18"/>
          <w:szCs w:val="18"/>
        </w:rPr>
        <w:t xml:space="preserve"> </w:t>
      </w:r>
      <w:r w:rsidRPr="001F1B45">
        <w:rPr>
          <w:rFonts w:ascii="Arial-BoldItalicMT"/>
          <w:b/>
          <w:i/>
          <w:sz w:val="18"/>
          <w:szCs w:val="18"/>
        </w:rPr>
        <w:t>Offering</w:t>
      </w:r>
      <w:r w:rsidRPr="001F1B45">
        <w:rPr>
          <w:rFonts w:ascii="Arial-BoldItalicMT"/>
          <w:b/>
          <w:i/>
          <w:spacing w:val="-2"/>
          <w:sz w:val="18"/>
          <w:szCs w:val="18"/>
        </w:rPr>
        <w:t xml:space="preserve"> </w:t>
      </w:r>
      <w:r w:rsidRPr="001F1B45">
        <w:rPr>
          <w:rFonts w:ascii="Arial-BoldItalicMT"/>
          <w:b/>
          <w:i/>
          <w:sz w:val="18"/>
          <w:szCs w:val="18"/>
        </w:rPr>
        <w:t>Document.</w:t>
      </w:r>
      <w:r w:rsidRPr="001F1B45">
        <w:rPr>
          <w:rFonts w:ascii="Arial-BoldItalicMT"/>
          <w:b/>
          <w:i/>
          <w:spacing w:val="-5"/>
          <w:sz w:val="18"/>
          <w:szCs w:val="18"/>
        </w:rPr>
        <w:t xml:space="preserve"> </w:t>
      </w:r>
      <w:r w:rsidRPr="001F1B45">
        <w:rPr>
          <w:rFonts w:ascii="Arial-BoldItalicMT"/>
          <w:b/>
          <w:i/>
          <w:sz w:val="18"/>
          <w:szCs w:val="18"/>
        </w:rPr>
        <w:t>Any</w:t>
      </w:r>
      <w:r w:rsidRPr="001F1B45">
        <w:rPr>
          <w:rFonts w:ascii="Arial-BoldItalicMT"/>
          <w:b/>
          <w:i/>
          <w:spacing w:val="-3"/>
          <w:sz w:val="18"/>
          <w:szCs w:val="18"/>
        </w:rPr>
        <w:t xml:space="preserve"> </w:t>
      </w:r>
      <w:r w:rsidRPr="001F1B45">
        <w:rPr>
          <w:rFonts w:ascii="Arial-BoldItalicMT"/>
          <w:b/>
          <w:i/>
          <w:sz w:val="18"/>
          <w:szCs w:val="18"/>
        </w:rPr>
        <w:t>representation</w:t>
      </w:r>
      <w:r w:rsidRPr="001F1B45">
        <w:rPr>
          <w:rFonts w:ascii="Arial-BoldItalicMT"/>
          <w:b/>
          <w:i/>
          <w:spacing w:val="-4"/>
          <w:sz w:val="18"/>
          <w:szCs w:val="18"/>
        </w:rPr>
        <w:t xml:space="preserve"> </w:t>
      </w:r>
      <w:r w:rsidRPr="001F1B45">
        <w:rPr>
          <w:rFonts w:ascii="Arial-BoldItalicMT"/>
          <w:b/>
          <w:i/>
          <w:sz w:val="18"/>
          <w:szCs w:val="18"/>
        </w:rPr>
        <w:t>to</w:t>
      </w:r>
      <w:r w:rsidRPr="001F1B45">
        <w:rPr>
          <w:rFonts w:ascii="Arial-BoldItalicMT"/>
          <w:b/>
          <w:i/>
          <w:spacing w:val="-4"/>
          <w:sz w:val="18"/>
          <w:szCs w:val="18"/>
        </w:rPr>
        <w:t xml:space="preserve"> </w:t>
      </w:r>
      <w:r w:rsidRPr="001F1B45">
        <w:rPr>
          <w:rFonts w:ascii="Arial-BoldItalicMT"/>
          <w:b/>
          <w:i/>
          <w:sz w:val="18"/>
          <w:szCs w:val="18"/>
        </w:rPr>
        <w:t>the</w:t>
      </w:r>
      <w:r w:rsidRPr="001F1B45">
        <w:rPr>
          <w:rFonts w:ascii="Arial-BoldItalicMT"/>
          <w:b/>
          <w:i/>
          <w:spacing w:val="-5"/>
          <w:sz w:val="18"/>
          <w:szCs w:val="18"/>
        </w:rPr>
        <w:t xml:space="preserve"> </w:t>
      </w:r>
      <w:r w:rsidRPr="001F1B45">
        <w:rPr>
          <w:rFonts w:ascii="Arial-BoldItalicMT"/>
          <w:b/>
          <w:i/>
          <w:sz w:val="18"/>
          <w:szCs w:val="18"/>
        </w:rPr>
        <w:t>contrary</w:t>
      </w:r>
      <w:r w:rsidRPr="001F1B45">
        <w:rPr>
          <w:rFonts w:ascii="Arial-BoldItalicMT"/>
          <w:b/>
          <w:i/>
          <w:spacing w:val="-3"/>
          <w:sz w:val="18"/>
          <w:szCs w:val="18"/>
        </w:rPr>
        <w:t xml:space="preserve"> </w:t>
      </w:r>
      <w:r w:rsidRPr="001F1B45">
        <w:rPr>
          <w:rFonts w:ascii="Arial-BoldItalicMT"/>
          <w:b/>
          <w:i/>
          <w:sz w:val="18"/>
          <w:szCs w:val="18"/>
        </w:rPr>
        <w:t>is</w:t>
      </w:r>
      <w:r w:rsidRPr="001F1B45">
        <w:rPr>
          <w:rFonts w:ascii="Arial-BoldItalicMT"/>
          <w:b/>
          <w:i/>
          <w:spacing w:val="-4"/>
          <w:sz w:val="18"/>
          <w:szCs w:val="18"/>
        </w:rPr>
        <w:t xml:space="preserve"> </w:t>
      </w:r>
      <w:r w:rsidRPr="001F1B45">
        <w:rPr>
          <w:rFonts w:ascii="Arial-BoldItalicMT"/>
          <w:b/>
          <w:i/>
          <w:sz w:val="18"/>
          <w:szCs w:val="18"/>
        </w:rPr>
        <w:t>an</w:t>
      </w:r>
      <w:r w:rsidRPr="001F1B45">
        <w:rPr>
          <w:rFonts w:ascii="Arial-BoldItalicMT"/>
          <w:b/>
          <w:i/>
          <w:spacing w:val="-5"/>
          <w:sz w:val="18"/>
          <w:szCs w:val="18"/>
        </w:rPr>
        <w:t xml:space="preserve"> </w:t>
      </w:r>
      <w:r w:rsidRPr="001F1B45">
        <w:rPr>
          <w:rFonts w:ascii="Arial-BoldItalicMT"/>
          <w:b/>
          <w:i/>
          <w:sz w:val="18"/>
          <w:szCs w:val="18"/>
        </w:rPr>
        <w:t>offence.</w:t>
      </w:r>
      <w:r w:rsidRPr="001F1B45">
        <w:rPr>
          <w:rFonts w:ascii="Arial-BoldItalicMT"/>
          <w:b/>
          <w:i/>
          <w:spacing w:val="-6"/>
          <w:sz w:val="18"/>
          <w:szCs w:val="18"/>
        </w:rPr>
        <w:t xml:space="preserve"> </w:t>
      </w:r>
      <w:r w:rsidRPr="001F1B45">
        <w:rPr>
          <w:rFonts w:ascii="Arial-BoldItalicMT"/>
          <w:b/>
          <w:i/>
          <w:sz w:val="18"/>
          <w:szCs w:val="18"/>
        </w:rPr>
        <w:t>This</w:t>
      </w:r>
      <w:r w:rsidRPr="001F1B45">
        <w:rPr>
          <w:rFonts w:ascii="Arial-BoldItalicMT"/>
          <w:b/>
          <w:i/>
          <w:spacing w:val="-5"/>
          <w:sz w:val="18"/>
          <w:szCs w:val="18"/>
        </w:rPr>
        <w:t xml:space="preserve"> </w:t>
      </w:r>
      <w:r w:rsidRPr="001F1B45">
        <w:rPr>
          <w:rFonts w:ascii="Arial-BoldItalicMT"/>
          <w:b/>
          <w:i/>
          <w:sz w:val="18"/>
          <w:szCs w:val="18"/>
        </w:rPr>
        <w:t>Offering</w:t>
      </w:r>
      <w:r>
        <w:rPr>
          <w:rFonts w:ascii="Arial-BoldItalicMT"/>
          <w:b/>
          <w:i/>
          <w:sz w:val="18"/>
          <w:szCs w:val="18"/>
        </w:rPr>
        <w:t xml:space="preserve"> (as defined below)</w:t>
      </w:r>
      <w:r w:rsidRPr="001F1B45">
        <w:rPr>
          <w:rFonts w:ascii="Arial-BoldItalicMT"/>
          <w:b/>
          <w:i/>
          <w:sz w:val="18"/>
          <w:szCs w:val="18"/>
        </w:rPr>
        <w:t xml:space="preserve"> may not be suitable for you, and you should only invest in it if you are willing to risk the loss of your entire investment. In making this investment decision, you should seek the advice of a registered dealer.</w:t>
      </w:r>
    </w:p>
    <w:p w:rsidR="00590C86" w:rsidP="00D45DC3" w14:paraId="39F97F1B" w14:textId="57EA01F1">
      <w:pPr>
        <w:pStyle w:val="Heading1"/>
        <w:ind w:left="0" w:right="0"/>
      </w:pPr>
      <w:r>
        <w:t>OFFERING DOCUMENT</w:t>
      </w:r>
      <w:r w:rsidR="00D45DC3">
        <w:br/>
      </w:r>
      <w:r>
        <w:t>U</w:t>
      </w:r>
      <w:r w:rsidR="0066739D">
        <w:t>NDER</w:t>
      </w:r>
      <w:r w:rsidR="0066739D">
        <w:rPr>
          <w:spacing w:val="-10"/>
        </w:rPr>
        <w:t xml:space="preserve"> </w:t>
      </w:r>
      <w:r w:rsidR="0066739D">
        <w:t>THE</w:t>
      </w:r>
      <w:r w:rsidR="0066739D">
        <w:rPr>
          <w:spacing w:val="-10"/>
        </w:rPr>
        <w:t xml:space="preserve"> </w:t>
      </w:r>
      <w:r w:rsidR="0066739D">
        <w:t>LISTED</w:t>
      </w:r>
      <w:r w:rsidR="0066739D">
        <w:rPr>
          <w:spacing w:val="-7"/>
        </w:rPr>
        <w:t xml:space="preserve"> </w:t>
      </w:r>
      <w:r w:rsidR="0066739D">
        <w:t>ISSUER</w:t>
      </w:r>
      <w:r w:rsidR="0066739D">
        <w:rPr>
          <w:spacing w:val="-7"/>
        </w:rPr>
        <w:t xml:space="preserve"> </w:t>
      </w:r>
      <w:r w:rsidR="0066739D">
        <w:t>FINANCING</w:t>
      </w:r>
      <w:r w:rsidR="0066739D">
        <w:rPr>
          <w:spacing w:val="-9"/>
        </w:rPr>
        <w:t xml:space="preserve"> </w:t>
      </w:r>
      <w:r w:rsidR="0066739D">
        <w:t>EXEMPTION</w:t>
      </w:r>
    </w:p>
    <w:p w:rsidR="00A11AF5" w:rsidP="00D45DC3" w14:paraId="483B3B2F" w14:textId="77777777">
      <w:pPr>
        <w:pStyle w:val="Heading1"/>
        <w:ind w:left="0" w:right="0"/>
      </w:pPr>
    </w:p>
    <w:p w:rsidR="004D7A2D" w:rsidP="00590C86" w14:paraId="0BADF5DC" w14:textId="37F23F02">
      <w:pPr>
        <w:pStyle w:val="Heading1"/>
        <w:spacing w:line="491" w:lineRule="auto"/>
        <w:ind w:left="4170" w:right="1050" w:hanging="3026"/>
      </w:pPr>
      <w:r>
        <w:t xml:space="preserve">May </w:t>
      </w:r>
      <w:r w:rsidR="0091468A">
        <w:t>15</w:t>
      </w:r>
      <w:r>
        <w:t xml:space="preserve">, </w:t>
      </w:r>
      <w:r w:rsidR="0066739D">
        <w:t>202</w:t>
      </w:r>
      <w:r>
        <w:t>5</w:t>
      </w:r>
    </w:p>
    <w:p w:rsidR="004D7A2D" w:rsidP="00A11AF5" w14:paraId="60463DFC" w14:textId="32CEE119">
      <w:pPr>
        <w:pStyle w:val="BodyText"/>
        <w:jc w:val="center"/>
        <w:rPr>
          <w:b/>
          <w:sz w:val="22"/>
        </w:rPr>
      </w:pPr>
      <w:r>
        <w:rPr>
          <w:rFonts w:ascii="Times New Roman"/>
          <w:noProof/>
        </w:rPr>
        <w:drawing>
          <wp:inline distT="0" distB="0" distL="0" distR="0">
            <wp:extent cx="2287998" cy="913256"/>
            <wp:effectExtent l="0" t="0" r="0" b="0"/>
            <wp:docPr id="1" name="Image 1" descr="A blue and yellow logo&#10;&#10;AI-generated content may be incorrect."/>
            <wp:cNvGraphicFramePr/>
            <a:graphic xmlns:a="http://schemas.openxmlformats.org/drawingml/2006/main">
              <a:graphicData uri="http://schemas.openxmlformats.org/drawingml/2006/picture">
                <pic:pic xmlns:pic="http://schemas.openxmlformats.org/drawingml/2006/picture">
                  <pic:nvPicPr>
                    <pic:cNvPr id="1" name="Image 1" descr="A blue and yellow logo&#10;&#10;AI-generated content may be incorrect."/>
                    <pic:cNvPicPr/>
                  </pic:nvPicPr>
                  <pic:blipFill>
                    <a:blip xmlns:r="http://schemas.openxmlformats.org/officeDocument/2006/relationships" r:embed="rId6" cstate="print"/>
                    <a:stretch>
                      <a:fillRect/>
                    </a:stretch>
                  </pic:blipFill>
                  <pic:spPr>
                    <a:xfrm>
                      <a:off x="0" y="0"/>
                      <a:ext cx="2287998" cy="913256"/>
                    </a:xfrm>
                    <a:prstGeom prst="rect">
                      <a:avLst/>
                    </a:prstGeom>
                  </pic:spPr>
                </pic:pic>
              </a:graphicData>
            </a:graphic>
          </wp:inline>
        </w:drawing>
      </w:r>
    </w:p>
    <w:p w:rsidR="004D7A2D" w14:paraId="01C4C651" w14:textId="77777777">
      <w:pPr>
        <w:pStyle w:val="BodyText"/>
        <w:rPr>
          <w:b/>
          <w:sz w:val="22"/>
        </w:rPr>
      </w:pPr>
    </w:p>
    <w:p w:rsidR="004D7A2D" w14:paraId="74F8B5C3" w14:textId="77777777">
      <w:pPr>
        <w:pStyle w:val="BodyText"/>
        <w:spacing w:before="4"/>
        <w:rPr>
          <w:b/>
          <w:sz w:val="19"/>
        </w:rPr>
      </w:pPr>
    </w:p>
    <w:p w:rsidR="00E33834" w:rsidRPr="000D1106" w:rsidP="00BB164C" w14:paraId="3EBA10CF" w14:textId="281939AF">
      <w:pPr>
        <w:tabs>
          <w:tab w:val="left" w:pos="5592"/>
        </w:tabs>
        <w:spacing w:before="1"/>
        <w:ind w:left="1504" w:right="950"/>
        <w:rPr>
          <w:b/>
          <w:sz w:val="20"/>
        </w:rPr>
      </w:pPr>
      <w:r w:rsidRPr="000D1106">
        <w:rPr>
          <w:b/>
          <w:sz w:val="20"/>
        </w:rPr>
        <w:tab/>
      </w:r>
    </w:p>
    <w:p w:rsidR="004D7A2D" w:rsidP="00E33834" w14:paraId="3E4F3A42" w14:textId="37761F00">
      <w:pPr>
        <w:spacing w:before="1"/>
        <w:ind w:left="1504" w:right="950"/>
        <w:jc w:val="center"/>
        <w:rPr>
          <w:sz w:val="20"/>
        </w:rPr>
      </w:pPr>
      <w:r>
        <w:rPr>
          <w:b/>
          <w:sz w:val="20"/>
          <w:u w:val="single"/>
        </w:rPr>
        <w:t>STAR COPPER</w:t>
      </w:r>
      <w:r w:rsidRPr="00031659" w:rsidR="00FF2E71">
        <w:rPr>
          <w:b/>
          <w:sz w:val="20"/>
          <w:u w:val="single"/>
        </w:rPr>
        <w:t xml:space="preserve"> CORP.</w:t>
      </w:r>
      <w:r w:rsidR="00E33834">
        <w:rPr>
          <w:b/>
          <w:sz w:val="20"/>
          <w:u w:val="thick"/>
        </w:rPr>
        <w:br/>
      </w:r>
      <w:r w:rsidR="0066739D">
        <w:rPr>
          <w:sz w:val="20"/>
        </w:rPr>
        <w:t>(</w:t>
      </w:r>
      <w:r w:rsidR="00782D24">
        <w:rPr>
          <w:sz w:val="20"/>
        </w:rPr>
        <w:t>“</w:t>
      </w:r>
      <w:r>
        <w:rPr>
          <w:b/>
          <w:bCs/>
          <w:sz w:val="20"/>
        </w:rPr>
        <w:t>Star Copper</w:t>
      </w:r>
      <w:r w:rsidR="00782D24">
        <w:rPr>
          <w:sz w:val="20"/>
        </w:rPr>
        <w:t>”</w:t>
      </w:r>
      <w:r w:rsidR="008656C7">
        <w:rPr>
          <w:sz w:val="20"/>
        </w:rPr>
        <w:t xml:space="preserve">, </w:t>
      </w:r>
      <w:r w:rsidR="0066739D">
        <w:rPr>
          <w:sz w:val="20"/>
        </w:rPr>
        <w:t>the</w:t>
      </w:r>
      <w:r w:rsidR="0066739D">
        <w:rPr>
          <w:spacing w:val="-6"/>
          <w:sz w:val="20"/>
        </w:rPr>
        <w:t xml:space="preserve"> </w:t>
      </w:r>
      <w:r w:rsidR="00782D24">
        <w:rPr>
          <w:sz w:val="20"/>
        </w:rPr>
        <w:t>“</w:t>
      </w:r>
      <w:r w:rsidR="0066739D">
        <w:rPr>
          <w:b/>
          <w:sz w:val="20"/>
        </w:rPr>
        <w:t>Company</w:t>
      </w:r>
      <w:r w:rsidR="00782D24">
        <w:rPr>
          <w:sz w:val="20"/>
        </w:rPr>
        <w:t>”</w:t>
      </w:r>
      <w:r w:rsidR="0066739D">
        <w:rPr>
          <w:spacing w:val="-5"/>
          <w:sz w:val="20"/>
        </w:rPr>
        <w:t xml:space="preserve"> </w:t>
      </w:r>
      <w:r w:rsidR="0066739D">
        <w:rPr>
          <w:sz w:val="20"/>
        </w:rPr>
        <w:t>or</w:t>
      </w:r>
      <w:r w:rsidR="0066739D">
        <w:rPr>
          <w:spacing w:val="-3"/>
          <w:sz w:val="20"/>
        </w:rPr>
        <w:t xml:space="preserve"> </w:t>
      </w:r>
      <w:r w:rsidR="0066739D">
        <w:rPr>
          <w:sz w:val="20"/>
        </w:rPr>
        <w:t>the</w:t>
      </w:r>
      <w:r w:rsidR="0066739D">
        <w:rPr>
          <w:spacing w:val="-7"/>
          <w:sz w:val="20"/>
        </w:rPr>
        <w:t xml:space="preserve"> </w:t>
      </w:r>
      <w:r w:rsidR="00782D24">
        <w:rPr>
          <w:spacing w:val="-2"/>
          <w:sz w:val="20"/>
        </w:rPr>
        <w:t>“</w:t>
      </w:r>
      <w:r w:rsidR="0066739D">
        <w:rPr>
          <w:b/>
          <w:spacing w:val="-2"/>
          <w:sz w:val="20"/>
        </w:rPr>
        <w:t>issuer</w:t>
      </w:r>
      <w:r w:rsidR="00782D24">
        <w:rPr>
          <w:spacing w:val="-2"/>
          <w:sz w:val="20"/>
        </w:rPr>
        <w:t>”</w:t>
      </w:r>
      <w:r w:rsidR="0066739D">
        <w:rPr>
          <w:spacing w:val="-2"/>
          <w:sz w:val="20"/>
        </w:rPr>
        <w:t>)</w:t>
      </w:r>
    </w:p>
    <w:p w:rsidR="004D7A2D" w14:paraId="007ADB95" w14:textId="77777777">
      <w:pPr>
        <w:pStyle w:val="BodyText"/>
        <w:spacing w:before="10"/>
      </w:pPr>
    </w:p>
    <w:p w:rsidR="004D7A2D" w:rsidP="00CB4FCF" w14:paraId="24CCF5CF" w14:textId="1EAF6AA6">
      <w:pPr>
        <w:ind w:left="180"/>
        <w:rPr>
          <w:b/>
          <w:spacing w:val="-2"/>
          <w:sz w:val="20"/>
        </w:rPr>
      </w:pPr>
      <w:r>
        <w:rPr>
          <w:b/>
          <w:sz w:val="20"/>
        </w:rPr>
        <w:t>What</w:t>
      </w:r>
      <w:r>
        <w:rPr>
          <w:b/>
          <w:spacing w:val="-5"/>
          <w:sz w:val="20"/>
        </w:rPr>
        <w:t xml:space="preserve"> </w:t>
      </w:r>
      <w:r>
        <w:rPr>
          <w:b/>
          <w:sz w:val="20"/>
        </w:rPr>
        <w:t>are</w:t>
      </w:r>
      <w:r>
        <w:rPr>
          <w:b/>
          <w:spacing w:val="-5"/>
          <w:sz w:val="20"/>
        </w:rPr>
        <w:t xml:space="preserve"> </w:t>
      </w:r>
      <w:r>
        <w:rPr>
          <w:b/>
          <w:sz w:val="20"/>
        </w:rPr>
        <w:t>we</w:t>
      </w:r>
      <w:r>
        <w:rPr>
          <w:b/>
          <w:spacing w:val="-5"/>
          <w:sz w:val="20"/>
        </w:rPr>
        <w:t xml:space="preserve"> </w:t>
      </w:r>
      <w:r>
        <w:rPr>
          <w:b/>
          <w:spacing w:val="-2"/>
          <w:sz w:val="20"/>
        </w:rPr>
        <w:t>offering?</w:t>
      </w:r>
    </w:p>
    <w:p w:rsidR="00CB4FCF" w:rsidRPr="00CB4FCF" w:rsidP="00CB4FCF" w14:paraId="3E0F03C1" w14:textId="77777777">
      <w:pPr>
        <w:ind w:left="180"/>
        <w:rPr>
          <w:b/>
          <w:sz w:val="20"/>
        </w:rPr>
      </w:pPr>
    </w:p>
    <w:tbl>
      <w:tblPr>
        <w:tblW w:w="9615"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5"/>
        <w:gridCol w:w="7920"/>
      </w:tblGrid>
      <w:tr w14:paraId="56A95C0F" w14:textId="77777777" w:rsidTr="00D66399">
        <w:tblPrEx>
          <w:tblW w:w="9615" w:type="dxa"/>
          <w:tblInd w:w="190" w:type="dxa"/>
          <w:tblLayout w:type="fixed"/>
          <w:tblLook w:val="01E0"/>
        </w:tblPrEx>
        <w:trPr>
          <w:trHeight w:val="1876"/>
        </w:trPr>
        <w:tc>
          <w:tcPr>
            <w:tcW w:w="1695" w:type="dxa"/>
            <w:shd w:val="clear" w:color="auto" w:fill="auto"/>
          </w:tcPr>
          <w:p w:rsidR="004D7A2D" w14:paraId="65FECE04" w14:textId="4A5D9436">
            <w:pPr>
              <w:pStyle w:val="TableParagraph"/>
              <w:spacing w:before="119"/>
              <w:ind w:left="107"/>
              <w:rPr>
                <w:rFonts w:ascii="Arial" w:eastAsia="Arial" w:hAnsi="Arial" w:cs="Arial"/>
                <w:b/>
                <w:sz w:val="20"/>
                <w:szCs w:val="22"/>
                <w:lang w:val="en-US" w:eastAsia="en-US" w:bidi="ar-SA"/>
              </w:rPr>
            </w:pPr>
            <w:r>
              <w:rPr>
                <w:rFonts w:ascii="Arial" w:eastAsia="Arial" w:hAnsi="Arial" w:cs="Arial"/>
                <w:b/>
                <w:sz w:val="20"/>
                <w:szCs w:val="22"/>
                <w:lang w:val="en-US" w:eastAsia="en-US" w:bidi="ar-SA"/>
              </w:rPr>
              <w:t>Offering</w:t>
            </w:r>
            <w:r w:rsidR="0066739D">
              <w:rPr>
                <w:rFonts w:ascii="Arial" w:eastAsia="Arial" w:hAnsi="Arial" w:cs="Arial"/>
                <w:b/>
                <w:spacing w:val="-2"/>
                <w:sz w:val="20"/>
                <w:szCs w:val="22"/>
                <w:lang w:val="en-US" w:eastAsia="en-US" w:bidi="ar-SA"/>
              </w:rPr>
              <w:t>:</w:t>
            </w:r>
          </w:p>
        </w:tc>
        <w:tc>
          <w:tcPr>
            <w:tcW w:w="7920" w:type="dxa"/>
            <w:shd w:val="clear" w:color="auto" w:fill="auto"/>
          </w:tcPr>
          <w:p w:rsidR="00A975D8" w:rsidRPr="008C3C97" w:rsidP="00C4583D" w14:paraId="7B326067" w14:textId="3AADA7BF">
            <w:pPr>
              <w:pStyle w:val="TableParagraph"/>
              <w:spacing w:before="119"/>
              <w:ind w:left="107" w:right="119"/>
              <w:jc w:val="both"/>
              <w:rPr>
                <w:rFonts w:ascii="Arial" w:eastAsia="Arial" w:hAnsi="Arial" w:cs="Arial"/>
                <w:sz w:val="20"/>
                <w:szCs w:val="22"/>
                <w:lang w:val="en-US" w:eastAsia="en-US" w:bidi="ar-SA"/>
              </w:rPr>
            </w:pPr>
            <w:r>
              <w:rPr>
                <w:rFonts w:ascii="Arial" w:eastAsia="Arial" w:hAnsi="Arial" w:cs="Arial"/>
                <w:sz w:val="20"/>
                <w:szCs w:val="22"/>
                <w:lang w:val="en-US" w:eastAsia="en-US" w:bidi="ar-SA"/>
              </w:rPr>
              <w:t>Non-brokered</w:t>
            </w:r>
            <w:r w:rsidR="00275523">
              <w:rPr>
                <w:rFonts w:ascii="Arial" w:eastAsia="Arial" w:hAnsi="Arial" w:cs="Arial"/>
                <w:sz w:val="20"/>
                <w:szCs w:val="22"/>
                <w:lang w:val="en-US" w:eastAsia="en-US" w:bidi="ar-SA"/>
              </w:rPr>
              <w:t xml:space="preserve"> private placement of u</w:t>
            </w:r>
            <w:r w:rsidR="00FF2E71">
              <w:rPr>
                <w:rFonts w:ascii="Arial" w:eastAsia="Arial" w:hAnsi="Arial" w:cs="Arial"/>
                <w:sz w:val="20"/>
                <w:szCs w:val="22"/>
                <w:lang w:val="en-US" w:eastAsia="en-US" w:bidi="ar-SA"/>
              </w:rPr>
              <w:t xml:space="preserve">p to </w:t>
            </w:r>
            <w:r>
              <w:rPr>
                <w:rFonts w:ascii="Arial" w:eastAsia="Arial" w:hAnsi="Arial" w:cs="Arial"/>
                <w:sz w:val="20"/>
                <w:szCs w:val="22"/>
                <w:lang w:val="en-US" w:eastAsia="en-US" w:bidi="ar-SA"/>
              </w:rPr>
              <w:t>2</w:t>
            </w:r>
            <w:r w:rsidR="00423698">
              <w:rPr>
                <w:rFonts w:ascii="Arial" w:eastAsia="Arial" w:hAnsi="Arial" w:cs="Arial"/>
                <w:sz w:val="20"/>
                <w:szCs w:val="22"/>
                <w:lang w:val="en-US" w:eastAsia="en-US" w:bidi="ar-SA"/>
              </w:rPr>
              <w:t>,000,000</w:t>
            </w:r>
            <w:r w:rsidRPr="00921011" w:rsidR="00921011">
              <w:rPr>
                <w:rFonts w:ascii="Arial" w:eastAsia="Arial" w:hAnsi="Arial" w:cs="Arial"/>
                <w:sz w:val="20"/>
                <w:szCs w:val="22"/>
                <w:lang w:val="en-US" w:eastAsia="en-US" w:bidi="ar-SA"/>
              </w:rPr>
              <w:t xml:space="preserve"> units </w:t>
            </w:r>
            <w:r w:rsidR="0066739D">
              <w:rPr>
                <w:rFonts w:ascii="Arial" w:eastAsia="Arial" w:hAnsi="Arial" w:cs="Arial"/>
                <w:sz w:val="20"/>
                <w:szCs w:val="22"/>
                <w:lang w:val="en-US" w:eastAsia="en-US" w:bidi="ar-SA"/>
              </w:rPr>
              <w:t>of</w:t>
            </w:r>
            <w:r w:rsidR="0066739D">
              <w:rPr>
                <w:rFonts w:ascii="Arial" w:eastAsia="Arial" w:hAnsi="Arial" w:cs="Arial"/>
                <w:spacing w:val="-5"/>
                <w:sz w:val="20"/>
                <w:szCs w:val="22"/>
                <w:lang w:val="en-US" w:eastAsia="en-US" w:bidi="ar-SA"/>
              </w:rPr>
              <w:t xml:space="preserve"> </w:t>
            </w:r>
            <w:r w:rsidR="0066739D">
              <w:rPr>
                <w:rFonts w:ascii="Arial" w:eastAsia="Arial" w:hAnsi="Arial" w:cs="Arial"/>
                <w:sz w:val="20"/>
                <w:szCs w:val="22"/>
                <w:lang w:val="en-US" w:eastAsia="en-US" w:bidi="ar-SA"/>
              </w:rPr>
              <w:t>the</w:t>
            </w:r>
            <w:r w:rsidR="0066739D">
              <w:rPr>
                <w:rFonts w:ascii="Arial" w:eastAsia="Arial" w:hAnsi="Arial" w:cs="Arial"/>
                <w:spacing w:val="-7"/>
                <w:sz w:val="20"/>
                <w:szCs w:val="22"/>
                <w:lang w:val="en-US" w:eastAsia="en-US" w:bidi="ar-SA"/>
              </w:rPr>
              <w:t xml:space="preserve"> </w:t>
            </w:r>
            <w:r w:rsidR="0066739D">
              <w:rPr>
                <w:rFonts w:ascii="Arial" w:eastAsia="Arial" w:hAnsi="Arial" w:cs="Arial"/>
                <w:sz w:val="20"/>
                <w:szCs w:val="22"/>
                <w:lang w:val="en-US" w:eastAsia="en-US" w:bidi="ar-SA"/>
              </w:rPr>
              <w:t>Company</w:t>
            </w:r>
            <w:r w:rsidR="0066739D">
              <w:rPr>
                <w:rFonts w:ascii="Arial" w:eastAsia="Arial" w:hAnsi="Arial" w:cs="Arial"/>
                <w:spacing w:val="-4"/>
                <w:sz w:val="20"/>
                <w:szCs w:val="22"/>
                <w:lang w:val="en-US" w:eastAsia="en-US" w:bidi="ar-SA"/>
              </w:rPr>
              <w:t xml:space="preserve"> </w:t>
            </w:r>
            <w:r w:rsidR="0066739D">
              <w:rPr>
                <w:rFonts w:ascii="Arial" w:eastAsia="Arial" w:hAnsi="Arial" w:cs="Arial"/>
                <w:sz w:val="20"/>
                <w:szCs w:val="22"/>
                <w:lang w:val="en-US" w:eastAsia="en-US" w:bidi="ar-SA"/>
              </w:rPr>
              <w:t>(each,</w:t>
            </w:r>
            <w:r w:rsidR="0066739D">
              <w:rPr>
                <w:rFonts w:ascii="Arial" w:eastAsia="Arial" w:hAnsi="Arial" w:cs="Arial"/>
                <w:spacing w:val="-4"/>
                <w:sz w:val="20"/>
                <w:szCs w:val="22"/>
                <w:lang w:val="en-US" w:eastAsia="en-US" w:bidi="ar-SA"/>
              </w:rPr>
              <w:t xml:space="preserve"> </w:t>
            </w:r>
            <w:r w:rsidR="0066739D">
              <w:rPr>
                <w:rFonts w:ascii="Arial" w:eastAsia="Arial" w:hAnsi="Arial" w:cs="Arial"/>
                <w:sz w:val="20"/>
                <w:szCs w:val="22"/>
                <w:lang w:val="en-US" w:eastAsia="en-US" w:bidi="ar-SA"/>
              </w:rPr>
              <w:t>a</w:t>
            </w:r>
            <w:r w:rsidR="0066739D">
              <w:rPr>
                <w:rFonts w:ascii="Arial" w:eastAsia="Arial" w:hAnsi="Arial" w:cs="Arial"/>
                <w:spacing w:val="-6"/>
                <w:sz w:val="20"/>
                <w:szCs w:val="22"/>
                <w:lang w:val="en-US" w:eastAsia="en-US" w:bidi="ar-SA"/>
              </w:rPr>
              <w:t xml:space="preserve"> </w:t>
            </w:r>
            <w:r w:rsidR="00782D24">
              <w:rPr>
                <w:rFonts w:ascii="Arial" w:eastAsia="Arial" w:hAnsi="Arial" w:cs="Arial"/>
                <w:sz w:val="20"/>
                <w:szCs w:val="22"/>
                <w:lang w:val="en-US" w:eastAsia="en-US" w:bidi="ar-SA"/>
              </w:rPr>
              <w:t>“</w:t>
            </w:r>
            <w:r w:rsidR="0066739D">
              <w:rPr>
                <w:rFonts w:ascii="Arial" w:eastAsia="Arial" w:hAnsi="Arial" w:cs="Arial"/>
                <w:b/>
                <w:sz w:val="20"/>
                <w:szCs w:val="22"/>
                <w:lang w:val="en-US" w:eastAsia="en-US" w:bidi="ar-SA"/>
              </w:rPr>
              <w:t>Unit</w:t>
            </w:r>
            <w:r w:rsidR="00782D24">
              <w:rPr>
                <w:rFonts w:ascii="Arial" w:eastAsia="Arial" w:hAnsi="Arial" w:cs="Arial"/>
                <w:sz w:val="20"/>
                <w:szCs w:val="22"/>
                <w:lang w:val="en-US" w:eastAsia="en-US" w:bidi="ar-SA"/>
              </w:rPr>
              <w:t>”</w:t>
            </w:r>
            <w:r w:rsidR="009A170C">
              <w:rPr>
                <w:rFonts w:ascii="Arial" w:eastAsia="Arial" w:hAnsi="Arial" w:cs="Arial"/>
                <w:sz w:val="20"/>
                <w:szCs w:val="22"/>
                <w:lang w:val="en-US" w:eastAsia="en-US" w:bidi="ar-SA"/>
              </w:rPr>
              <w:t xml:space="preserve"> and collectively, </w:t>
            </w:r>
            <w:r w:rsidR="00782D24">
              <w:rPr>
                <w:rFonts w:ascii="Arial" w:eastAsia="Arial" w:hAnsi="Arial" w:cs="Arial"/>
                <w:sz w:val="20"/>
                <w:szCs w:val="22"/>
                <w:lang w:val="en-US" w:eastAsia="en-US" w:bidi="ar-SA"/>
              </w:rPr>
              <w:t>“</w:t>
            </w:r>
            <w:r w:rsidR="009A170C">
              <w:rPr>
                <w:rFonts w:ascii="Arial" w:eastAsia="Arial" w:hAnsi="Arial" w:cs="Arial"/>
                <w:b/>
                <w:bCs/>
                <w:sz w:val="20"/>
                <w:szCs w:val="22"/>
                <w:lang w:val="en-US" w:eastAsia="en-US" w:bidi="ar-SA"/>
              </w:rPr>
              <w:t>Units</w:t>
            </w:r>
            <w:r w:rsidR="00782D24">
              <w:rPr>
                <w:rFonts w:ascii="Arial" w:eastAsia="Arial" w:hAnsi="Arial" w:cs="Arial"/>
                <w:sz w:val="20"/>
                <w:szCs w:val="22"/>
                <w:lang w:val="en-US" w:eastAsia="en-US" w:bidi="ar-SA"/>
              </w:rPr>
              <w:t>”</w:t>
            </w:r>
            <w:r w:rsidR="0066739D">
              <w:rPr>
                <w:rFonts w:ascii="Arial" w:eastAsia="Arial" w:hAnsi="Arial" w:cs="Arial"/>
                <w:sz w:val="20"/>
                <w:szCs w:val="22"/>
                <w:lang w:val="en-US" w:eastAsia="en-US" w:bidi="ar-SA"/>
              </w:rPr>
              <w:t>)</w:t>
            </w:r>
            <w:r w:rsidR="00921011">
              <w:rPr>
                <w:rFonts w:ascii="Arial" w:eastAsia="Arial" w:hAnsi="Arial" w:cs="Arial"/>
                <w:sz w:val="20"/>
                <w:szCs w:val="22"/>
                <w:lang w:val="en-US" w:eastAsia="en-US" w:bidi="ar-SA"/>
              </w:rPr>
              <w:t xml:space="preserve"> at a price of $</w:t>
            </w:r>
            <w:r w:rsidR="00FF2E71">
              <w:rPr>
                <w:rFonts w:ascii="Arial" w:eastAsia="Arial" w:hAnsi="Arial" w:cs="Arial"/>
                <w:sz w:val="20"/>
                <w:szCs w:val="22"/>
                <w:lang w:val="en-US" w:eastAsia="en-US" w:bidi="ar-SA"/>
              </w:rPr>
              <w:t>0.</w:t>
            </w:r>
            <w:r>
              <w:rPr>
                <w:rFonts w:ascii="Arial" w:eastAsia="Arial" w:hAnsi="Arial" w:cs="Arial"/>
                <w:sz w:val="20"/>
                <w:szCs w:val="22"/>
                <w:lang w:val="en-US" w:eastAsia="en-US" w:bidi="ar-SA"/>
              </w:rPr>
              <w:t>50</w:t>
            </w:r>
            <w:r w:rsidR="00921011">
              <w:rPr>
                <w:rFonts w:ascii="Arial" w:eastAsia="Arial" w:hAnsi="Arial" w:cs="Arial"/>
                <w:sz w:val="20"/>
                <w:szCs w:val="22"/>
                <w:lang w:val="en-US" w:eastAsia="en-US" w:bidi="ar-SA"/>
              </w:rPr>
              <w:t xml:space="preserve"> per Unit</w:t>
            </w:r>
            <w:r w:rsidR="0066739D">
              <w:rPr>
                <w:rFonts w:ascii="Arial" w:eastAsia="Arial" w:hAnsi="Arial" w:cs="Arial"/>
                <w:spacing w:val="-5"/>
                <w:sz w:val="20"/>
                <w:szCs w:val="22"/>
                <w:lang w:val="en-US" w:eastAsia="en-US" w:bidi="ar-SA"/>
              </w:rPr>
              <w:t xml:space="preserve"> </w:t>
            </w:r>
            <w:r w:rsidR="0066739D">
              <w:rPr>
                <w:rFonts w:ascii="Arial" w:eastAsia="Arial" w:hAnsi="Arial" w:cs="Arial"/>
                <w:sz w:val="20"/>
                <w:szCs w:val="22"/>
                <w:lang w:val="en-US" w:eastAsia="en-US" w:bidi="ar-SA"/>
              </w:rPr>
              <w:t>for</w:t>
            </w:r>
            <w:r w:rsidR="0066739D">
              <w:rPr>
                <w:rFonts w:ascii="Arial" w:eastAsia="Arial" w:hAnsi="Arial" w:cs="Arial"/>
                <w:spacing w:val="-6"/>
                <w:sz w:val="20"/>
                <w:szCs w:val="22"/>
                <w:lang w:val="en-US" w:eastAsia="en-US" w:bidi="ar-SA"/>
              </w:rPr>
              <w:t xml:space="preserve"> </w:t>
            </w:r>
            <w:r w:rsidR="0066739D">
              <w:rPr>
                <w:rFonts w:ascii="Arial" w:eastAsia="Arial" w:hAnsi="Arial" w:cs="Arial"/>
                <w:sz w:val="20"/>
                <w:szCs w:val="22"/>
                <w:lang w:val="en-US" w:eastAsia="en-US" w:bidi="ar-SA"/>
              </w:rPr>
              <w:t>gross</w:t>
            </w:r>
            <w:r w:rsidR="0066739D">
              <w:rPr>
                <w:rFonts w:ascii="Arial" w:eastAsia="Arial" w:hAnsi="Arial" w:cs="Arial"/>
                <w:spacing w:val="-5"/>
                <w:sz w:val="20"/>
                <w:szCs w:val="22"/>
                <w:lang w:val="en-US" w:eastAsia="en-US" w:bidi="ar-SA"/>
              </w:rPr>
              <w:t xml:space="preserve"> </w:t>
            </w:r>
            <w:r w:rsidR="0066739D">
              <w:rPr>
                <w:rFonts w:ascii="Arial" w:eastAsia="Arial" w:hAnsi="Arial" w:cs="Arial"/>
                <w:sz w:val="20"/>
                <w:szCs w:val="22"/>
                <w:lang w:val="en-US" w:eastAsia="en-US" w:bidi="ar-SA"/>
              </w:rPr>
              <w:t>proceeds of</w:t>
            </w:r>
            <w:r w:rsidR="0066739D">
              <w:rPr>
                <w:rFonts w:ascii="Arial" w:eastAsia="Arial" w:hAnsi="Arial" w:cs="Arial"/>
                <w:spacing w:val="-5"/>
                <w:sz w:val="20"/>
                <w:szCs w:val="22"/>
                <w:lang w:val="en-US" w:eastAsia="en-US" w:bidi="ar-SA"/>
              </w:rPr>
              <w:t xml:space="preserve"> </w:t>
            </w:r>
            <w:r w:rsidR="00FF2E71">
              <w:rPr>
                <w:rFonts w:ascii="Arial" w:eastAsia="Arial" w:hAnsi="Arial" w:cs="Arial"/>
                <w:sz w:val="20"/>
                <w:szCs w:val="22"/>
                <w:lang w:val="en-US" w:eastAsia="en-US" w:bidi="ar-SA"/>
              </w:rPr>
              <w:t>up to $</w:t>
            </w:r>
            <w:r>
              <w:rPr>
                <w:rFonts w:ascii="Arial" w:eastAsia="Arial" w:hAnsi="Arial" w:cs="Arial"/>
                <w:sz w:val="20"/>
                <w:szCs w:val="22"/>
                <w:lang w:val="en-US" w:eastAsia="en-US" w:bidi="ar-SA"/>
              </w:rPr>
              <w:t>1,000</w:t>
            </w:r>
            <w:r w:rsidR="00C4583D">
              <w:rPr>
                <w:rFonts w:ascii="Arial" w:eastAsia="Arial" w:hAnsi="Arial" w:cs="Arial"/>
                <w:sz w:val="20"/>
                <w:szCs w:val="22"/>
                <w:lang w:val="en-US" w:eastAsia="en-US" w:bidi="ar-SA"/>
              </w:rPr>
              <w:t>,000</w:t>
            </w:r>
            <w:r w:rsidR="0066739D">
              <w:rPr>
                <w:rFonts w:ascii="Arial" w:eastAsia="Arial" w:hAnsi="Arial" w:cs="Arial"/>
                <w:spacing w:val="-4"/>
                <w:sz w:val="20"/>
                <w:szCs w:val="22"/>
                <w:lang w:val="en-US" w:eastAsia="en-US" w:bidi="ar-SA"/>
              </w:rPr>
              <w:t xml:space="preserve"> </w:t>
            </w:r>
            <w:r w:rsidR="0066739D">
              <w:rPr>
                <w:rFonts w:ascii="Arial" w:eastAsia="Arial" w:hAnsi="Arial" w:cs="Arial"/>
                <w:sz w:val="20"/>
                <w:szCs w:val="22"/>
                <w:lang w:val="en-US" w:eastAsia="en-US" w:bidi="ar-SA"/>
              </w:rPr>
              <w:t>(the</w:t>
            </w:r>
            <w:r w:rsidR="0066739D">
              <w:rPr>
                <w:rFonts w:ascii="Arial" w:eastAsia="Arial" w:hAnsi="Arial" w:cs="Arial"/>
                <w:spacing w:val="-4"/>
                <w:sz w:val="20"/>
                <w:szCs w:val="22"/>
                <w:lang w:val="en-US" w:eastAsia="en-US" w:bidi="ar-SA"/>
              </w:rPr>
              <w:t xml:space="preserve"> </w:t>
            </w:r>
            <w:r w:rsidR="00782D24">
              <w:rPr>
                <w:rFonts w:ascii="Arial" w:eastAsia="Arial" w:hAnsi="Arial" w:cs="Arial"/>
                <w:sz w:val="20"/>
                <w:szCs w:val="22"/>
                <w:lang w:val="en-US" w:eastAsia="en-US" w:bidi="ar-SA"/>
              </w:rPr>
              <w:t>“</w:t>
            </w:r>
            <w:r w:rsidR="0066739D">
              <w:rPr>
                <w:rFonts w:ascii="Arial" w:eastAsia="Arial" w:hAnsi="Arial" w:cs="Arial"/>
                <w:b/>
                <w:sz w:val="20"/>
                <w:szCs w:val="22"/>
                <w:lang w:val="en-US" w:eastAsia="en-US" w:bidi="ar-SA"/>
              </w:rPr>
              <w:t>Offering</w:t>
            </w:r>
            <w:r w:rsidR="00782D24">
              <w:rPr>
                <w:rFonts w:ascii="Arial" w:eastAsia="Arial" w:hAnsi="Arial" w:cs="Arial"/>
                <w:sz w:val="20"/>
                <w:szCs w:val="22"/>
                <w:lang w:val="en-US" w:eastAsia="en-US" w:bidi="ar-SA"/>
              </w:rPr>
              <w:t>”</w:t>
            </w:r>
            <w:r w:rsidR="0066739D">
              <w:rPr>
                <w:rFonts w:ascii="Arial" w:eastAsia="Arial" w:hAnsi="Arial" w:cs="Arial"/>
                <w:sz w:val="20"/>
                <w:szCs w:val="22"/>
                <w:lang w:val="en-US" w:eastAsia="en-US" w:bidi="ar-SA"/>
              </w:rPr>
              <w:t>).</w:t>
            </w:r>
            <w:r w:rsidR="0066739D">
              <w:rPr>
                <w:rFonts w:ascii="Arial" w:eastAsia="Arial" w:hAnsi="Arial" w:cs="Arial"/>
                <w:spacing w:val="40"/>
                <w:sz w:val="20"/>
                <w:szCs w:val="22"/>
                <w:lang w:val="en-US" w:eastAsia="en-US" w:bidi="ar-SA"/>
              </w:rPr>
              <w:t xml:space="preserve"> </w:t>
            </w:r>
            <w:r w:rsidR="0066739D">
              <w:rPr>
                <w:rFonts w:ascii="Arial" w:eastAsia="Arial" w:hAnsi="Arial" w:cs="Arial"/>
                <w:sz w:val="20"/>
                <w:szCs w:val="22"/>
                <w:lang w:val="en-US" w:eastAsia="en-US" w:bidi="ar-SA"/>
              </w:rPr>
              <w:t>Each</w:t>
            </w:r>
            <w:r w:rsidR="0066739D">
              <w:rPr>
                <w:rFonts w:ascii="Arial" w:eastAsia="Arial" w:hAnsi="Arial" w:cs="Arial"/>
                <w:spacing w:val="-2"/>
                <w:sz w:val="20"/>
                <w:szCs w:val="22"/>
                <w:lang w:val="en-US" w:eastAsia="en-US" w:bidi="ar-SA"/>
              </w:rPr>
              <w:t xml:space="preserve"> </w:t>
            </w:r>
            <w:r w:rsidR="002726BA">
              <w:rPr>
                <w:rFonts w:ascii="Arial" w:eastAsia="Arial" w:hAnsi="Arial" w:cs="Arial"/>
                <w:sz w:val="20"/>
                <w:szCs w:val="22"/>
                <w:lang w:val="en-US" w:eastAsia="en-US" w:bidi="ar-SA"/>
              </w:rPr>
              <w:t>U</w:t>
            </w:r>
            <w:r w:rsidR="0066739D">
              <w:rPr>
                <w:rFonts w:ascii="Arial" w:eastAsia="Arial" w:hAnsi="Arial" w:cs="Arial"/>
                <w:sz w:val="20"/>
                <w:szCs w:val="22"/>
                <w:lang w:val="en-US" w:eastAsia="en-US" w:bidi="ar-SA"/>
              </w:rPr>
              <w:t>nit</w:t>
            </w:r>
            <w:r w:rsidR="0066739D">
              <w:rPr>
                <w:rFonts w:ascii="Arial" w:eastAsia="Arial" w:hAnsi="Arial" w:cs="Arial"/>
                <w:spacing w:val="-4"/>
                <w:sz w:val="20"/>
                <w:szCs w:val="22"/>
                <w:lang w:val="en-US" w:eastAsia="en-US" w:bidi="ar-SA"/>
              </w:rPr>
              <w:t xml:space="preserve"> </w:t>
            </w:r>
            <w:r w:rsidR="0066739D">
              <w:rPr>
                <w:rFonts w:ascii="Arial" w:eastAsia="Arial" w:hAnsi="Arial" w:cs="Arial"/>
                <w:sz w:val="20"/>
                <w:szCs w:val="22"/>
                <w:lang w:val="en-US" w:eastAsia="en-US" w:bidi="ar-SA"/>
              </w:rPr>
              <w:t>will</w:t>
            </w:r>
            <w:r w:rsidR="0066739D">
              <w:rPr>
                <w:rFonts w:ascii="Arial" w:eastAsia="Arial" w:hAnsi="Arial" w:cs="Arial"/>
                <w:spacing w:val="-5"/>
                <w:sz w:val="20"/>
                <w:szCs w:val="22"/>
                <w:lang w:val="en-US" w:eastAsia="en-US" w:bidi="ar-SA"/>
              </w:rPr>
              <w:t xml:space="preserve"> </w:t>
            </w:r>
            <w:r w:rsidR="0066739D">
              <w:rPr>
                <w:rFonts w:ascii="Arial" w:eastAsia="Arial" w:hAnsi="Arial" w:cs="Arial"/>
                <w:sz w:val="20"/>
                <w:szCs w:val="22"/>
                <w:lang w:val="en-US" w:eastAsia="en-US" w:bidi="ar-SA"/>
              </w:rPr>
              <w:t>consist</w:t>
            </w:r>
            <w:r w:rsidR="0066739D">
              <w:rPr>
                <w:rFonts w:ascii="Arial" w:eastAsia="Arial" w:hAnsi="Arial" w:cs="Arial"/>
                <w:spacing w:val="-5"/>
                <w:sz w:val="20"/>
                <w:szCs w:val="22"/>
                <w:lang w:val="en-US" w:eastAsia="en-US" w:bidi="ar-SA"/>
              </w:rPr>
              <w:t xml:space="preserve"> </w:t>
            </w:r>
            <w:r w:rsidR="0066739D">
              <w:rPr>
                <w:rFonts w:ascii="Arial" w:eastAsia="Arial" w:hAnsi="Arial" w:cs="Arial"/>
                <w:sz w:val="20"/>
                <w:szCs w:val="22"/>
                <w:lang w:val="en-US" w:eastAsia="en-US" w:bidi="ar-SA"/>
              </w:rPr>
              <w:t>of</w:t>
            </w:r>
            <w:r w:rsidR="0066739D">
              <w:rPr>
                <w:rFonts w:ascii="Arial" w:eastAsia="Arial" w:hAnsi="Arial" w:cs="Arial"/>
                <w:spacing w:val="-1"/>
                <w:sz w:val="20"/>
                <w:szCs w:val="22"/>
                <w:lang w:val="en-US" w:eastAsia="en-US" w:bidi="ar-SA"/>
              </w:rPr>
              <w:t xml:space="preserve"> </w:t>
            </w:r>
            <w:r w:rsidR="0066739D">
              <w:rPr>
                <w:rFonts w:ascii="Arial" w:eastAsia="Arial" w:hAnsi="Arial" w:cs="Arial"/>
                <w:sz w:val="20"/>
                <w:szCs w:val="22"/>
                <w:lang w:val="en-US" w:eastAsia="en-US" w:bidi="ar-SA"/>
              </w:rPr>
              <w:t>one</w:t>
            </w:r>
            <w:r w:rsidR="0066739D">
              <w:rPr>
                <w:rFonts w:ascii="Arial" w:eastAsia="Arial" w:hAnsi="Arial" w:cs="Arial"/>
                <w:spacing w:val="-4"/>
                <w:sz w:val="20"/>
                <w:szCs w:val="22"/>
                <w:lang w:val="en-US" w:eastAsia="en-US" w:bidi="ar-SA"/>
              </w:rPr>
              <w:t xml:space="preserve"> </w:t>
            </w:r>
            <w:r w:rsidR="0066739D">
              <w:rPr>
                <w:rFonts w:ascii="Arial" w:eastAsia="Arial" w:hAnsi="Arial" w:cs="Arial"/>
                <w:sz w:val="20"/>
                <w:szCs w:val="22"/>
                <w:lang w:val="en-US" w:eastAsia="en-US" w:bidi="ar-SA"/>
              </w:rPr>
              <w:t xml:space="preserve">common share in the capital of the Company (each, a </w:t>
            </w:r>
            <w:r w:rsidR="00782D24">
              <w:rPr>
                <w:rFonts w:ascii="Arial" w:eastAsia="Arial" w:hAnsi="Arial" w:cs="Arial"/>
                <w:sz w:val="20"/>
                <w:szCs w:val="22"/>
                <w:lang w:val="en-US" w:eastAsia="en-US" w:bidi="ar-SA"/>
              </w:rPr>
              <w:t>“</w:t>
            </w:r>
            <w:r w:rsidR="0066739D">
              <w:rPr>
                <w:rFonts w:ascii="Arial" w:eastAsia="Arial" w:hAnsi="Arial" w:cs="Arial"/>
                <w:b/>
                <w:sz w:val="20"/>
                <w:szCs w:val="22"/>
                <w:lang w:val="en-US" w:eastAsia="en-US" w:bidi="ar-SA"/>
              </w:rPr>
              <w:t>Common Share</w:t>
            </w:r>
            <w:r w:rsidR="00782D24">
              <w:rPr>
                <w:rFonts w:ascii="Arial" w:eastAsia="Arial" w:hAnsi="Arial" w:cs="Arial"/>
                <w:sz w:val="20"/>
                <w:szCs w:val="22"/>
                <w:lang w:val="en-US" w:eastAsia="en-US" w:bidi="ar-SA"/>
              </w:rPr>
              <w:t>”</w:t>
            </w:r>
            <w:r w:rsidR="009A170C">
              <w:rPr>
                <w:rFonts w:ascii="Arial" w:eastAsia="Arial" w:hAnsi="Arial" w:cs="Arial"/>
                <w:sz w:val="20"/>
                <w:szCs w:val="22"/>
                <w:lang w:val="en-US" w:eastAsia="en-US" w:bidi="ar-SA"/>
              </w:rPr>
              <w:t xml:space="preserve"> and collectively, </w:t>
            </w:r>
            <w:r w:rsidR="00782D24">
              <w:rPr>
                <w:rFonts w:ascii="Arial" w:eastAsia="Arial" w:hAnsi="Arial" w:cs="Arial"/>
                <w:sz w:val="20"/>
                <w:szCs w:val="22"/>
                <w:lang w:val="en-US" w:eastAsia="en-US" w:bidi="ar-SA"/>
              </w:rPr>
              <w:t>“</w:t>
            </w:r>
            <w:r w:rsidR="009A170C">
              <w:rPr>
                <w:rFonts w:ascii="Arial" w:eastAsia="Arial" w:hAnsi="Arial" w:cs="Arial"/>
                <w:b/>
                <w:bCs/>
                <w:sz w:val="20"/>
                <w:szCs w:val="22"/>
                <w:lang w:val="en-US" w:eastAsia="en-US" w:bidi="ar-SA"/>
              </w:rPr>
              <w:t>Common Shares</w:t>
            </w:r>
            <w:r w:rsidR="00782D24">
              <w:rPr>
                <w:rFonts w:ascii="Arial" w:eastAsia="Arial" w:hAnsi="Arial" w:cs="Arial"/>
                <w:sz w:val="20"/>
                <w:szCs w:val="22"/>
                <w:lang w:val="en-US" w:eastAsia="en-US" w:bidi="ar-SA"/>
              </w:rPr>
              <w:t>”</w:t>
            </w:r>
            <w:r w:rsidR="0066739D">
              <w:rPr>
                <w:rFonts w:ascii="Arial" w:eastAsia="Arial" w:hAnsi="Arial" w:cs="Arial"/>
                <w:sz w:val="20"/>
                <w:szCs w:val="22"/>
                <w:lang w:val="en-US" w:eastAsia="en-US" w:bidi="ar-SA"/>
              </w:rPr>
              <w:t>) and one</w:t>
            </w:r>
            <w:r w:rsidR="00921011">
              <w:rPr>
                <w:rFonts w:ascii="Arial" w:eastAsia="Arial" w:hAnsi="Arial" w:cs="Arial"/>
                <w:sz w:val="20"/>
                <w:szCs w:val="22"/>
                <w:lang w:val="en-US" w:eastAsia="en-US" w:bidi="ar-SA"/>
              </w:rPr>
              <w:t xml:space="preserve"> </w:t>
            </w:r>
            <w:r w:rsidR="00FA47FF">
              <w:rPr>
                <w:rFonts w:ascii="Arial" w:eastAsia="Arial" w:hAnsi="Arial" w:cs="Arial"/>
                <w:sz w:val="20"/>
                <w:szCs w:val="22"/>
                <w:lang w:val="en-US" w:eastAsia="en-US" w:bidi="ar-SA"/>
              </w:rPr>
              <w:t>C</w:t>
            </w:r>
            <w:r w:rsidR="0066739D">
              <w:rPr>
                <w:rFonts w:ascii="Arial" w:eastAsia="Arial" w:hAnsi="Arial" w:cs="Arial"/>
                <w:sz w:val="20"/>
                <w:szCs w:val="22"/>
                <w:lang w:val="en-US" w:eastAsia="en-US" w:bidi="ar-SA"/>
              </w:rPr>
              <w:t xml:space="preserve">ommon </w:t>
            </w:r>
            <w:r w:rsidR="00FA47FF">
              <w:rPr>
                <w:rFonts w:ascii="Arial" w:eastAsia="Arial" w:hAnsi="Arial" w:cs="Arial"/>
                <w:sz w:val="20"/>
                <w:szCs w:val="22"/>
                <w:lang w:val="en-US" w:eastAsia="en-US" w:bidi="ar-SA"/>
              </w:rPr>
              <w:t>S</w:t>
            </w:r>
            <w:r w:rsidR="0066739D">
              <w:rPr>
                <w:rFonts w:ascii="Arial" w:eastAsia="Arial" w:hAnsi="Arial" w:cs="Arial"/>
                <w:sz w:val="20"/>
                <w:szCs w:val="22"/>
                <w:lang w:val="en-US" w:eastAsia="en-US" w:bidi="ar-SA"/>
              </w:rPr>
              <w:t>hare purchase warrant</w:t>
            </w:r>
            <w:r w:rsidR="00ED7E4E">
              <w:rPr>
                <w:rFonts w:ascii="Arial" w:eastAsia="Arial" w:hAnsi="Arial" w:cs="Arial"/>
                <w:sz w:val="20"/>
                <w:szCs w:val="22"/>
                <w:lang w:val="en-US" w:eastAsia="en-US" w:bidi="ar-SA"/>
              </w:rPr>
              <w:t xml:space="preserve"> of the Company</w:t>
            </w:r>
            <w:r w:rsidR="0066739D">
              <w:rPr>
                <w:rFonts w:ascii="Arial" w:eastAsia="Arial" w:hAnsi="Arial" w:cs="Arial"/>
                <w:sz w:val="20"/>
                <w:szCs w:val="22"/>
                <w:lang w:val="en-US" w:eastAsia="en-US" w:bidi="ar-SA"/>
              </w:rPr>
              <w:t xml:space="preserve"> (each</w:t>
            </w:r>
            <w:r w:rsidR="00400192">
              <w:rPr>
                <w:rFonts w:ascii="Arial" w:eastAsia="Arial" w:hAnsi="Arial" w:cs="Arial"/>
                <w:sz w:val="20"/>
                <w:szCs w:val="22"/>
                <w:lang w:val="en-US" w:eastAsia="en-US" w:bidi="ar-SA"/>
              </w:rPr>
              <w:t xml:space="preserve"> </w:t>
            </w:r>
            <w:r w:rsidR="0066739D">
              <w:rPr>
                <w:rFonts w:ascii="Arial" w:eastAsia="Arial" w:hAnsi="Arial" w:cs="Arial"/>
                <w:sz w:val="20"/>
                <w:szCs w:val="22"/>
                <w:lang w:val="en-US" w:eastAsia="en-US" w:bidi="ar-SA"/>
              </w:rPr>
              <w:t xml:space="preserve">a </w:t>
            </w:r>
            <w:r w:rsidR="00782D24">
              <w:rPr>
                <w:rFonts w:ascii="Arial" w:eastAsia="Arial" w:hAnsi="Arial" w:cs="Arial"/>
                <w:sz w:val="20"/>
                <w:szCs w:val="22"/>
                <w:lang w:val="en-US" w:eastAsia="en-US" w:bidi="ar-SA"/>
              </w:rPr>
              <w:t>“</w:t>
            </w:r>
            <w:r w:rsidR="0066739D">
              <w:rPr>
                <w:rFonts w:ascii="Arial" w:eastAsia="Arial" w:hAnsi="Arial" w:cs="Arial"/>
                <w:b/>
                <w:sz w:val="20"/>
                <w:szCs w:val="22"/>
                <w:lang w:val="en-US" w:eastAsia="en-US" w:bidi="ar-SA"/>
              </w:rPr>
              <w:t>Warrant</w:t>
            </w:r>
            <w:r w:rsidR="00782D24">
              <w:rPr>
                <w:rFonts w:ascii="Arial" w:eastAsia="Arial" w:hAnsi="Arial" w:cs="Arial"/>
                <w:sz w:val="20"/>
                <w:szCs w:val="22"/>
                <w:lang w:val="en-US" w:eastAsia="en-US" w:bidi="ar-SA"/>
              </w:rPr>
              <w:t>”</w:t>
            </w:r>
            <w:r w:rsidR="009A170C">
              <w:rPr>
                <w:rFonts w:ascii="Arial" w:eastAsia="Arial" w:hAnsi="Arial" w:cs="Arial"/>
                <w:sz w:val="20"/>
                <w:szCs w:val="22"/>
                <w:lang w:val="en-US" w:eastAsia="en-US" w:bidi="ar-SA"/>
              </w:rPr>
              <w:t xml:space="preserve"> and collectively, </w:t>
            </w:r>
            <w:r w:rsidR="00782D24">
              <w:rPr>
                <w:rFonts w:ascii="Arial" w:eastAsia="Arial" w:hAnsi="Arial" w:cs="Arial"/>
                <w:sz w:val="20"/>
                <w:szCs w:val="22"/>
                <w:lang w:val="en-US" w:eastAsia="en-US" w:bidi="ar-SA"/>
              </w:rPr>
              <w:t>“</w:t>
            </w:r>
            <w:r w:rsidR="009A170C">
              <w:rPr>
                <w:rFonts w:ascii="Arial" w:eastAsia="Arial" w:hAnsi="Arial" w:cs="Arial"/>
                <w:b/>
                <w:bCs/>
                <w:sz w:val="20"/>
                <w:szCs w:val="22"/>
                <w:lang w:val="en-US" w:eastAsia="en-US" w:bidi="ar-SA"/>
              </w:rPr>
              <w:t>Warrants</w:t>
            </w:r>
            <w:r w:rsidR="00782D24">
              <w:rPr>
                <w:rFonts w:ascii="Arial" w:eastAsia="Arial" w:hAnsi="Arial" w:cs="Arial"/>
                <w:sz w:val="20"/>
                <w:szCs w:val="22"/>
                <w:lang w:val="en-US" w:eastAsia="en-US" w:bidi="ar-SA"/>
              </w:rPr>
              <w:t>”</w:t>
            </w:r>
            <w:r w:rsidR="0066739D">
              <w:rPr>
                <w:rFonts w:ascii="Arial" w:eastAsia="Arial" w:hAnsi="Arial" w:cs="Arial"/>
                <w:sz w:val="20"/>
                <w:szCs w:val="22"/>
                <w:lang w:val="en-US" w:eastAsia="en-US" w:bidi="ar-SA"/>
              </w:rPr>
              <w:t xml:space="preserve">). Each Warrant </w:t>
            </w:r>
            <w:r w:rsidR="009A170C">
              <w:rPr>
                <w:rFonts w:ascii="Arial" w:eastAsia="Arial" w:hAnsi="Arial" w:cs="Arial"/>
                <w:sz w:val="20"/>
                <w:szCs w:val="22"/>
                <w:lang w:val="en-US" w:eastAsia="en-US" w:bidi="ar-SA"/>
              </w:rPr>
              <w:t>will be</w:t>
            </w:r>
            <w:r w:rsidR="0066739D">
              <w:rPr>
                <w:rFonts w:ascii="Arial" w:eastAsia="Arial" w:hAnsi="Arial" w:cs="Arial"/>
                <w:sz w:val="20"/>
                <w:szCs w:val="22"/>
                <w:lang w:val="en-US" w:eastAsia="en-US" w:bidi="ar-SA"/>
              </w:rPr>
              <w:t xml:space="preserve"> exercisable </w:t>
            </w:r>
            <w:r w:rsidR="009A170C">
              <w:rPr>
                <w:rFonts w:ascii="Arial" w:eastAsia="Arial" w:hAnsi="Arial" w:cs="Arial"/>
                <w:sz w:val="20"/>
                <w:szCs w:val="22"/>
                <w:lang w:val="en-US" w:eastAsia="en-US" w:bidi="ar-SA"/>
              </w:rPr>
              <w:t>to acquire</w:t>
            </w:r>
            <w:r w:rsidR="0066739D">
              <w:rPr>
                <w:rFonts w:ascii="Arial" w:eastAsia="Arial" w:hAnsi="Arial" w:cs="Arial"/>
                <w:sz w:val="20"/>
                <w:szCs w:val="22"/>
                <w:lang w:val="en-US" w:eastAsia="en-US" w:bidi="ar-SA"/>
              </w:rPr>
              <w:t xml:space="preserve"> one Common Share </w:t>
            </w:r>
            <w:r w:rsidR="002726BA">
              <w:rPr>
                <w:rFonts w:ascii="Arial" w:eastAsia="Arial" w:hAnsi="Arial" w:cs="Arial"/>
                <w:sz w:val="20"/>
                <w:szCs w:val="22"/>
                <w:lang w:val="en-US" w:eastAsia="en-US" w:bidi="ar-SA"/>
              </w:rPr>
              <w:t>(each a “</w:t>
            </w:r>
            <w:r w:rsidRPr="002726BA" w:rsidR="002726BA">
              <w:rPr>
                <w:rFonts w:ascii="Arial" w:eastAsia="Arial" w:hAnsi="Arial" w:cs="Arial"/>
                <w:b/>
                <w:bCs/>
                <w:sz w:val="20"/>
                <w:szCs w:val="22"/>
                <w:lang w:val="en-US" w:eastAsia="en-US" w:bidi="ar-SA"/>
              </w:rPr>
              <w:t>Warrant Share</w:t>
            </w:r>
            <w:r w:rsidR="002726BA">
              <w:rPr>
                <w:rFonts w:ascii="Arial" w:eastAsia="Arial" w:hAnsi="Arial" w:cs="Arial"/>
                <w:sz w:val="20"/>
                <w:szCs w:val="22"/>
                <w:lang w:val="en-US" w:eastAsia="en-US" w:bidi="ar-SA"/>
              </w:rPr>
              <w:t xml:space="preserve">”) </w:t>
            </w:r>
            <w:r w:rsidR="0066739D">
              <w:rPr>
                <w:rFonts w:ascii="Arial" w:eastAsia="Arial" w:hAnsi="Arial" w:cs="Arial"/>
                <w:sz w:val="20"/>
                <w:szCs w:val="22"/>
                <w:lang w:val="en-US" w:eastAsia="en-US" w:bidi="ar-SA"/>
              </w:rPr>
              <w:t>at a price of $</w:t>
            </w:r>
            <w:r w:rsidR="00D25CC3">
              <w:rPr>
                <w:rFonts w:ascii="Arial" w:eastAsia="Arial" w:hAnsi="Arial" w:cs="Arial"/>
                <w:sz w:val="20"/>
                <w:szCs w:val="22"/>
                <w:lang w:val="en-US" w:eastAsia="en-US" w:bidi="ar-SA"/>
              </w:rPr>
              <w:t>0.</w:t>
            </w:r>
            <w:r>
              <w:rPr>
                <w:rFonts w:ascii="Arial" w:eastAsia="Arial" w:hAnsi="Arial" w:cs="Arial"/>
                <w:sz w:val="20"/>
                <w:szCs w:val="22"/>
                <w:lang w:val="en-US" w:eastAsia="en-US" w:bidi="ar-SA"/>
              </w:rPr>
              <w:t>75</w:t>
            </w:r>
            <w:r w:rsidR="002E3E2F">
              <w:rPr>
                <w:rFonts w:ascii="Arial" w:eastAsia="Arial" w:hAnsi="Arial" w:cs="Arial"/>
                <w:sz w:val="20"/>
                <w:szCs w:val="22"/>
                <w:lang w:val="en-US" w:eastAsia="en-US" w:bidi="ar-SA"/>
              </w:rPr>
              <w:t xml:space="preserve"> </w:t>
            </w:r>
            <w:r w:rsidR="0066739D">
              <w:rPr>
                <w:rFonts w:ascii="Arial" w:eastAsia="Arial" w:hAnsi="Arial" w:cs="Arial"/>
                <w:sz w:val="20"/>
                <w:szCs w:val="22"/>
                <w:lang w:val="en-US" w:eastAsia="en-US" w:bidi="ar-SA"/>
              </w:rPr>
              <w:t xml:space="preserve">per </w:t>
            </w:r>
            <w:r w:rsidR="002726BA">
              <w:rPr>
                <w:rFonts w:ascii="Arial" w:eastAsia="Arial" w:hAnsi="Arial" w:cs="Arial"/>
                <w:sz w:val="20"/>
                <w:szCs w:val="22"/>
                <w:lang w:val="en-US" w:eastAsia="en-US" w:bidi="ar-SA"/>
              </w:rPr>
              <w:t>Warrant</w:t>
            </w:r>
            <w:r w:rsidR="0066739D">
              <w:rPr>
                <w:rFonts w:ascii="Arial" w:eastAsia="Arial" w:hAnsi="Arial" w:cs="Arial"/>
                <w:sz w:val="20"/>
                <w:szCs w:val="22"/>
                <w:lang w:val="en-US" w:eastAsia="en-US" w:bidi="ar-SA"/>
              </w:rPr>
              <w:t xml:space="preserve"> Share for a</w:t>
            </w:r>
            <w:r w:rsidR="0066739D">
              <w:rPr>
                <w:rFonts w:ascii="Arial" w:eastAsia="Arial" w:hAnsi="Arial" w:cs="Arial"/>
                <w:spacing w:val="-1"/>
                <w:sz w:val="20"/>
                <w:szCs w:val="22"/>
                <w:lang w:val="en-US" w:eastAsia="en-US" w:bidi="ar-SA"/>
              </w:rPr>
              <w:t xml:space="preserve"> </w:t>
            </w:r>
            <w:r w:rsidR="0066739D">
              <w:rPr>
                <w:rFonts w:ascii="Arial" w:eastAsia="Arial" w:hAnsi="Arial" w:cs="Arial"/>
                <w:sz w:val="20"/>
                <w:szCs w:val="22"/>
                <w:lang w:val="en-US" w:eastAsia="en-US" w:bidi="ar-SA"/>
              </w:rPr>
              <w:t xml:space="preserve">period of </w:t>
            </w:r>
            <w:r w:rsidR="00D25CC3">
              <w:rPr>
                <w:rFonts w:ascii="Arial" w:eastAsia="Arial" w:hAnsi="Arial" w:cs="Arial"/>
                <w:sz w:val="20"/>
                <w:szCs w:val="22"/>
                <w:lang w:val="en-US" w:eastAsia="en-US" w:bidi="ar-SA"/>
              </w:rPr>
              <w:t>1</w:t>
            </w:r>
            <w:r>
              <w:rPr>
                <w:rFonts w:ascii="Arial" w:eastAsia="Arial" w:hAnsi="Arial" w:cs="Arial"/>
                <w:sz w:val="20"/>
                <w:szCs w:val="22"/>
                <w:lang w:val="en-US" w:eastAsia="en-US" w:bidi="ar-SA"/>
              </w:rPr>
              <w:t>2</w:t>
            </w:r>
            <w:r w:rsidR="00D25CC3">
              <w:rPr>
                <w:rFonts w:ascii="Arial" w:eastAsia="Arial" w:hAnsi="Arial" w:cs="Arial"/>
                <w:sz w:val="20"/>
                <w:szCs w:val="22"/>
                <w:lang w:val="en-US" w:eastAsia="en-US" w:bidi="ar-SA"/>
              </w:rPr>
              <w:t xml:space="preserve"> months</w:t>
            </w:r>
            <w:r w:rsidR="009A170C">
              <w:rPr>
                <w:rFonts w:ascii="Arial" w:eastAsia="Arial" w:hAnsi="Arial" w:cs="Arial"/>
                <w:sz w:val="20"/>
                <w:szCs w:val="22"/>
                <w:lang w:val="en-US" w:eastAsia="en-US" w:bidi="ar-SA"/>
              </w:rPr>
              <w:t xml:space="preserve"> from the </w:t>
            </w:r>
            <w:r w:rsidR="00AA4804">
              <w:rPr>
                <w:rFonts w:ascii="Arial" w:eastAsia="Arial" w:hAnsi="Arial" w:cs="Arial"/>
                <w:sz w:val="20"/>
                <w:szCs w:val="22"/>
                <w:lang w:val="en-US" w:eastAsia="en-US" w:bidi="ar-SA"/>
              </w:rPr>
              <w:t>Closing D</w:t>
            </w:r>
            <w:r w:rsidR="009A170C">
              <w:rPr>
                <w:rFonts w:ascii="Arial" w:eastAsia="Arial" w:hAnsi="Arial" w:cs="Arial"/>
                <w:sz w:val="20"/>
                <w:szCs w:val="22"/>
                <w:lang w:val="en-US" w:eastAsia="en-US" w:bidi="ar-SA"/>
              </w:rPr>
              <w:t xml:space="preserve">ate </w:t>
            </w:r>
            <w:r w:rsidR="00AA4804">
              <w:rPr>
                <w:rFonts w:ascii="Arial" w:eastAsia="Arial" w:hAnsi="Arial" w:cs="Arial"/>
                <w:sz w:val="20"/>
                <w:szCs w:val="22"/>
                <w:lang w:val="en-US" w:eastAsia="en-US" w:bidi="ar-SA"/>
              </w:rPr>
              <w:t>(as defined below)</w:t>
            </w:r>
            <w:r w:rsidR="0066739D">
              <w:rPr>
                <w:rFonts w:ascii="Arial" w:eastAsia="Arial" w:hAnsi="Arial" w:cs="Arial"/>
                <w:sz w:val="20"/>
                <w:szCs w:val="22"/>
                <w:lang w:val="en-US" w:eastAsia="en-US" w:bidi="ar-SA"/>
              </w:rPr>
              <w:t>.</w:t>
            </w:r>
            <w:r w:rsidR="002726BA">
              <w:rPr>
                <w:rFonts w:ascii="Arial" w:eastAsia="Arial" w:hAnsi="Arial" w:cs="Arial"/>
                <w:sz w:val="20"/>
                <w:szCs w:val="22"/>
                <w:lang w:val="en-US" w:eastAsia="en-US" w:bidi="ar-SA"/>
              </w:rPr>
              <w:t xml:space="preserve"> The Warrant Shares will be subject to resale restrictions prohibiting the transfer thereof until the date which is four months and one day from the Closing Date. </w:t>
            </w:r>
          </w:p>
        </w:tc>
      </w:tr>
      <w:tr w14:paraId="737F6D41" w14:textId="77777777" w:rsidTr="00D66399">
        <w:tblPrEx>
          <w:tblW w:w="9615" w:type="dxa"/>
          <w:tblInd w:w="190" w:type="dxa"/>
          <w:tblLayout w:type="fixed"/>
          <w:tblLook w:val="01E0"/>
        </w:tblPrEx>
        <w:trPr>
          <w:trHeight w:val="386"/>
        </w:trPr>
        <w:tc>
          <w:tcPr>
            <w:tcW w:w="1695" w:type="dxa"/>
            <w:shd w:val="clear" w:color="auto" w:fill="auto"/>
          </w:tcPr>
          <w:p w:rsidR="004D7A2D" w14:paraId="3A3D830B" w14:textId="77777777">
            <w:pPr>
              <w:pStyle w:val="TableParagraph"/>
              <w:spacing w:before="119"/>
              <w:ind w:left="107"/>
              <w:rPr>
                <w:rFonts w:ascii="Arial" w:eastAsia="Arial" w:hAnsi="Arial" w:cs="Arial"/>
                <w:b/>
                <w:sz w:val="20"/>
                <w:szCs w:val="22"/>
                <w:lang w:val="en-US" w:eastAsia="en-US" w:bidi="ar-SA"/>
              </w:rPr>
            </w:pPr>
            <w:r>
              <w:rPr>
                <w:rFonts w:ascii="Arial" w:eastAsia="Arial" w:hAnsi="Arial" w:cs="Arial"/>
                <w:b/>
                <w:sz w:val="20"/>
                <w:szCs w:val="22"/>
                <w:lang w:val="en-US" w:eastAsia="en-US" w:bidi="ar-SA"/>
              </w:rPr>
              <w:t>Offering</w:t>
            </w:r>
            <w:r>
              <w:rPr>
                <w:rFonts w:ascii="Arial" w:eastAsia="Arial" w:hAnsi="Arial" w:cs="Arial"/>
                <w:b/>
                <w:spacing w:val="-11"/>
                <w:sz w:val="20"/>
                <w:szCs w:val="22"/>
                <w:lang w:val="en-US" w:eastAsia="en-US" w:bidi="ar-SA"/>
              </w:rPr>
              <w:t xml:space="preserve"> </w:t>
            </w:r>
            <w:r>
              <w:rPr>
                <w:rFonts w:ascii="Arial" w:eastAsia="Arial" w:hAnsi="Arial" w:cs="Arial"/>
                <w:b/>
                <w:spacing w:val="-2"/>
                <w:sz w:val="20"/>
                <w:szCs w:val="22"/>
                <w:lang w:val="en-US" w:eastAsia="en-US" w:bidi="ar-SA"/>
              </w:rPr>
              <w:t>Price:</w:t>
            </w:r>
          </w:p>
        </w:tc>
        <w:tc>
          <w:tcPr>
            <w:tcW w:w="7920" w:type="dxa"/>
            <w:shd w:val="clear" w:color="auto" w:fill="auto"/>
          </w:tcPr>
          <w:p w:rsidR="004D7A2D" w14:paraId="64D8FD6F" w14:textId="637E3ADA">
            <w:pPr>
              <w:pStyle w:val="TableParagraph"/>
              <w:spacing w:before="119"/>
              <w:ind w:left="107"/>
              <w:rPr>
                <w:rFonts w:ascii="Arial" w:eastAsia="Arial" w:hAnsi="Arial" w:cs="Arial"/>
                <w:sz w:val="20"/>
                <w:szCs w:val="22"/>
                <w:lang w:val="en-US" w:eastAsia="en-US" w:bidi="ar-SA"/>
              </w:rPr>
            </w:pPr>
            <w:r>
              <w:rPr>
                <w:rFonts w:ascii="Arial" w:eastAsia="Arial" w:hAnsi="Arial" w:cs="Arial"/>
                <w:sz w:val="20"/>
                <w:szCs w:val="22"/>
                <w:lang w:val="en-US" w:eastAsia="en-US" w:bidi="ar-SA"/>
              </w:rPr>
              <w:t>$</w:t>
            </w:r>
            <w:r w:rsidR="00FF2E71">
              <w:rPr>
                <w:rFonts w:ascii="Arial" w:eastAsia="Arial" w:hAnsi="Arial" w:cs="Arial"/>
                <w:sz w:val="20"/>
                <w:szCs w:val="22"/>
                <w:lang w:val="en-US" w:eastAsia="en-US" w:bidi="ar-SA"/>
              </w:rPr>
              <w:t>0.</w:t>
            </w:r>
            <w:r w:rsidR="00A11AF5">
              <w:rPr>
                <w:rFonts w:ascii="Arial" w:eastAsia="Arial" w:hAnsi="Arial" w:cs="Arial"/>
                <w:sz w:val="20"/>
                <w:szCs w:val="22"/>
                <w:lang w:val="en-US" w:eastAsia="en-US" w:bidi="ar-SA"/>
              </w:rPr>
              <w:t>50</w:t>
            </w:r>
            <w:r w:rsidR="008753E4">
              <w:rPr>
                <w:rFonts w:ascii="Arial" w:eastAsia="Arial" w:hAnsi="Arial" w:cs="Arial"/>
                <w:b/>
                <w:bCs/>
                <w:spacing w:val="-4"/>
                <w:sz w:val="20"/>
                <w:szCs w:val="22"/>
                <w:lang w:val="en-US" w:eastAsia="en-US" w:bidi="ar-SA"/>
              </w:rPr>
              <w:t xml:space="preserve"> </w:t>
            </w:r>
            <w:r>
              <w:rPr>
                <w:rFonts w:ascii="Arial" w:eastAsia="Arial" w:hAnsi="Arial" w:cs="Arial"/>
                <w:sz w:val="20"/>
                <w:szCs w:val="22"/>
                <w:lang w:val="en-US" w:eastAsia="en-US" w:bidi="ar-SA"/>
              </w:rPr>
              <w:t>per</w:t>
            </w:r>
            <w:r>
              <w:rPr>
                <w:rFonts w:ascii="Arial" w:eastAsia="Arial" w:hAnsi="Arial" w:cs="Arial"/>
                <w:spacing w:val="-5"/>
                <w:sz w:val="20"/>
                <w:szCs w:val="22"/>
                <w:lang w:val="en-US" w:eastAsia="en-US" w:bidi="ar-SA"/>
              </w:rPr>
              <w:t xml:space="preserve"> </w:t>
            </w:r>
            <w:r>
              <w:rPr>
                <w:rFonts w:ascii="Arial" w:eastAsia="Arial" w:hAnsi="Arial" w:cs="Arial"/>
                <w:spacing w:val="-2"/>
                <w:sz w:val="20"/>
                <w:szCs w:val="22"/>
                <w:lang w:val="en-US" w:eastAsia="en-US" w:bidi="ar-SA"/>
              </w:rPr>
              <w:t>Unit</w:t>
            </w:r>
            <w:r w:rsidR="00C76430">
              <w:rPr>
                <w:rFonts w:ascii="Arial" w:eastAsia="Arial" w:hAnsi="Arial" w:cs="Arial"/>
                <w:spacing w:val="-2"/>
                <w:sz w:val="20"/>
                <w:szCs w:val="22"/>
                <w:lang w:val="en-US" w:eastAsia="en-US" w:bidi="ar-SA"/>
              </w:rPr>
              <w:t xml:space="preserve"> (the </w:t>
            </w:r>
            <w:r w:rsidR="00782D24">
              <w:rPr>
                <w:rFonts w:ascii="Arial" w:eastAsia="Arial" w:hAnsi="Arial" w:cs="Arial"/>
                <w:spacing w:val="-2"/>
                <w:sz w:val="20"/>
                <w:szCs w:val="22"/>
                <w:lang w:val="en-US" w:eastAsia="en-US" w:bidi="ar-SA"/>
              </w:rPr>
              <w:t>“</w:t>
            </w:r>
            <w:r w:rsidR="00C76430">
              <w:rPr>
                <w:rFonts w:ascii="Arial" w:eastAsia="Arial" w:hAnsi="Arial" w:cs="Arial"/>
                <w:b/>
                <w:bCs/>
                <w:spacing w:val="-2"/>
                <w:sz w:val="20"/>
                <w:szCs w:val="22"/>
                <w:lang w:val="en-US" w:eastAsia="en-US" w:bidi="ar-SA"/>
              </w:rPr>
              <w:t>Offering Price</w:t>
            </w:r>
            <w:r w:rsidR="00782D24">
              <w:rPr>
                <w:rFonts w:ascii="Arial" w:eastAsia="Arial" w:hAnsi="Arial" w:cs="Arial"/>
                <w:spacing w:val="-2"/>
                <w:sz w:val="20"/>
                <w:szCs w:val="22"/>
                <w:lang w:val="en-US" w:eastAsia="en-US" w:bidi="ar-SA"/>
              </w:rPr>
              <w:t>”</w:t>
            </w:r>
            <w:r w:rsidR="00C76430">
              <w:rPr>
                <w:rFonts w:ascii="Arial" w:eastAsia="Arial" w:hAnsi="Arial" w:cs="Arial"/>
                <w:spacing w:val="-2"/>
                <w:sz w:val="20"/>
                <w:szCs w:val="22"/>
                <w:lang w:val="en-US" w:eastAsia="en-US" w:bidi="ar-SA"/>
              </w:rPr>
              <w:t>)</w:t>
            </w:r>
            <w:r>
              <w:rPr>
                <w:rFonts w:ascii="Arial" w:eastAsia="Arial" w:hAnsi="Arial" w:cs="Arial"/>
                <w:spacing w:val="-2"/>
                <w:sz w:val="20"/>
                <w:szCs w:val="22"/>
                <w:lang w:val="en-US" w:eastAsia="en-US" w:bidi="ar-SA"/>
              </w:rPr>
              <w:t>.</w:t>
            </w:r>
          </w:p>
        </w:tc>
      </w:tr>
      <w:tr w14:paraId="71D2297C" w14:textId="77777777" w:rsidTr="00D66399">
        <w:tblPrEx>
          <w:tblW w:w="9615" w:type="dxa"/>
          <w:tblInd w:w="190" w:type="dxa"/>
          <w:tblLayout w:type="fixed"/>
          <w:tblLook w:val="01E0"/>
        </w:tblPrEx>
        <w:trPr>
          <w:trHeight w:val="386"/>
        </w:trPr>
        <w:tc>
          <w:tcPr>
            <w:tcW w:w="1695" w:type="dxa"/>
            <w:shd w:val="clear" w:color="auto" w:fill="auto"/>
          </w:tcPr>
          <w:p w:rsidR="00FA47FF" w14:paraId="07CDABE2" w14:textId="5C42F592">
            <w:pPr>
              <w:pStyle w:val="TableParagraph"/>
              <w:spacing w:before="119"/>
              <w:ind w:left="107"/>
              <w:rPr>
                <w:rFonts w:ascii="Arial" w:eastAsia="Arial" w:hAnsi="Arial" w:cs="Arial"/>
                <w:b/>
                <w:sz w:val="20"/>
                <w:szCs w:val="22"/>
                <w:lang w:val="en-US" w:eastAsia="en-US" w:bidi="ar-SA"/>
              </w:rPr>
            </w:pPr>
            <w:r>
              <w:rPr>
                <w:rFonts w:ascii="Arial" w:eastAsia="Arial" w:hAnsi="Arial" w:cs="Arial"/>
                <w:b/>
                <w:sz w:val="20"/>
                <w:szCs w:val="22"/>
                <w:lang w:val="en-US" w:eastAsia="en-US" w:bidi="ar-SA"/>
              </w:rPr>
              <w:t>Offering Amount:</w:t>
            </w:r>
          </w:p>
        </w:tc>
        <w:tc>
          <w:tcPr>
            <w:tcW w:w="7920" w:type="dxa"/>
            <w:shd w:val="clear" w:color="auto" w:fill="auto"/>
          </w:tcPr>
          <w:p w:rsidR="00FA47FF" w14:paraId="7847B405" w14:textId="227A0BBB">
            <w:pPr>
              <w:pStyle w:val="TableParagraph"/>
              <w:spacing w:before="119"/>
              <w:ind w:left="107"/>
              <w:rPr>
                <w:rFonts w:ascii="Arial" w:eastAsia="Arial" w:hAnsi="Arial" w:cs="Arial"/>
                <w:sz w:val="20"/>
                <w:szCs w:val="22"/>
                <w:lang w:val="en-US" w:eastAsia="en-US" w:bidi="ar-SA"/>
              </w:rPr>
            </w:pPr>
            <w:r w:rsidRPr="00FA47FF">
              <w:rPr>
                <w:rFonts w:ascii="Arial" w:eastAsia="Arial" w:hAnsi="Arial" w:cs="Arial"/>
                <w:sz w:val="20"/>
                <w:szCs w:val="22"/>
                <w:lang w:val="en-US" w:eastAsia="en-US" w:bidi="ar-SA"/>
              </w:rPr>
              <w:t xml:space="preserve">A maximum amount of </w:t>
            </w:r>
            <w:r w:rsidR="00A11AF5">
              <w:rPr>
                <w:rFonts w:ascii="Arial" w:eastAsia="Arial" w:hAnsi="Arial" w:cs="Arial"/>
                <w:sz w:val="20"/>
                <w:szCs w:val="22"/>
                <w:lang w:val="en-US" w:eastAsia="en-US" w:bidi="ar-SA"/>
              </w:rPr>
              <w:t>2</w:t>
            </w:r>
            <w:r>
              <w:rPr>
                <w:rFonts w:ascii="Arial" w:eastAsia="Arial" w:hAnsi="Arial" w:cs="Arial"/>
                <w:sz w:val="20"/>
                <w:szCs w:val="22"/>
                <w:lang w:val="en-US" w:eastAsia="en-US" w:bidi="ar-SA"/>
              </w:rPr>
              <w:t>,000,000</w:t>
            </w:r>
            <w:r w:rsidRPr="00FA47FF">
              <w:rPr>
                <w:rFonts w:ascii="Arial" w:eastAsia="Arial" w:hAnsi="Arial" w:cs="Arial"/>
                <w:sz w:val="20"/>
                <w:szCs w:val="22"/>
                <w:lang w:val="en-US" w:eastAsia="en-US" w:bidi="ar-SA"/>
              </w:rPr>
              <w:t xml:space="preserve"> Units for maximum gross proceeds of </w:t>
            </w:r>
            <w:r>
              <w:rPr>
                <w:rFonts w:ascii="Arial" w:eastAsia="Arial" w:hAnsi="Arial" w:cs="Arial"/>
                <w:sz w:val="20"/>
                <w:szCs w:val="22"/>
                <w:lang w:val="en-US" w:eastAsia="en-US" w:bidi="ar-SA"/>
              </w:rPr>
              <w:t>$</w:t>
            </w:r>
            <w:r w:rsidR="00A11AF5">
              <w:rPr>
                <w:rFonts w:ascii="Arial" w:eastAsia="Arial" w:hAnsi="Arial" w:cs="Arial"/>
                <w:sz w:val="20"/>
                <w:szCs w:val="22"/>
                <w:lang w:val="en-US" w:eastAsia="en-US" w:bidi="ar-SA"/>
              </w:rPr>
              <w:t>1</w:t>
            </w:r>
            <w:r>
              <w:rPr>
                <w:rFonts w:ascii="Arial" w:eastAsia="Arial" w:hAnsi="Arial" w:cs="Arial"/>
                <w:sz w:val="20"/>
                <w:szCs w:val="22"/>
                <w:lang w:val="en-US" w:eastAsia="en-US" w:bidi="ar-SA"/>
              </w:rPr>
              <w:t>,</w:t>
            </w:r>
            <w:r w:rsidR="00A11AF5">
              <w:rPr>
                <w:rFonts w:ascii="Arial" w:eastAsia="Arial" w:hAnsi="Arial" w:cs="Arial"/>
                <w:sz w:val="20"/>
                <w:szCs w:val="22"/>
                <w:lang w:val="en-US" w:eastAsia="en-US" w:bidi="ar-SA"/>
              </w:rPr>
              <w:t>00</w:t>
            </w:r>
            <w:r>
              <w:rPr>
                <w:rFonts w:ascii="Arial" w:eastAsia="Arial" w:hAnsi="Arial" w:cs="Arial"/>
                <w:sz w:val="20"/>
                <w:szCs w:val="22"/>
                <w:lang w:val="en-US" w:eastAsia="en-US" w:bidi="ar-SA"/>
              </w:rPr>
              <w:t>0,000.</w:t>
            </w:r>
            <w:r w:rsidRPr="00FA47FF" w:rsidR="00D66399">
              <w:rPr>
                <w:rFonts w:ascii="Arial" w:eastAsia="Arial" w:hAnsi="Arial" w:cs="Arial"/>
                <w:sz w:val="20"/>
                <w:szCs w:val="22"/>
                <w:lang w:val="en-US" w:eastAsia="en-US" w:bidi="ar-SA"/>
              </w:rPr>
              <w:t xml:space="preserve"> There is no minimum amount.</w:t>
            </w:r>
          </w:p>
        </w:tc>
      </w:tr>
      <w:tr w14:paraId="65838D8D" w14:textId="77777777" w:rsidTr="00D66399">
        <w:tblPrEx>
          <w:tblW w:w="9615" w:type="dxa"/>
          <w:tblInd w:w="190" w:type="dxa"/>
          <w:tblLayout w:type="fixed"/>
          <w:tblLook w:val="01E0"/>
        </w:tblPrEx>
        <w:trPr>
          <w:trHeight w:val="1300"/>
        </w:trPr>
        <w:tc>
          <w:tcPr>
            <w:tcW w:w="1695" w:type="dxa"/>
            <w:shd w:val="clear" w:color="auto" w:fill="auto"/>
          </w:tcPr>
          <w:p w:rsidR="004D7A2D" w14:paraId="23D93AEB" w14:textId="77777777">
            <w:pPr>
              <w:pStyle w:val="TableParagraph"/>
              <w:spacing w:before="119"/>
              <w:ind w:left="107"/>
              <w:rPr>
                <w:rFonts w:ascii="Arial" w:eastAsia="Arial" w:hAnsi="Arial" w:cs="Arial"/>
                <w:b/>
                <w:sz w:val="20"/>
                <w:szCs w:val="22"/>
                <w:lang w:val="en-US" w:eastAsia="en-US" w:bidi="ar-SA"/>
              </w:rPr>
            </w:pPr>
            <w:r>
              <w:rPr>
                <w:rFonts w:ascii="Arial" w:eastAsia="Arial" w:hAnsi="Arial" w:cs="Arial"/>
                <w:b/>
                <w:sz w:val="20"/>
                <w:szCs w:val="22"/>
                <w:lang w:val="en-US" w:eastAsia="en-US" w:bidi="ar-SA"/>
              </w:rPr>
              <w:t>Closing</w:t>
            </w:r>
            <w:r>
              <w:rPr>
                <w:rFonts w:ascii="Arial" w:eastAsia="Arial" w:hAnsi="Arial" w:cs="Arial"/>
                <w:b/>
                <w:spacing w:val="-11"/>
                <w:sz w:val="20"/>
                <w:szCs w:val="22"/>
                <w:lang w:val="en-US" w:eastAsia="en-US" w:bidi="ar-SA"/>
              </w:rPr>
              <w:t xml:space="preserve"> </w:t>
            </w:r>
            <w:r>
              <w:rPr>
                <w:rFonts w:ascii="Arial" w:eastAsia="Arial" w:hAnsi="Arial" w:cs="Arial"/>
                <w:b/>
                <w:spacing w:val="-2"/>
                <w:sz w:val="20"/>
                <w:szCs w:val="22"/>
                <w:lang w:val="en-US" w:eastAsia="en-US" w:bidi="ar-SA"/>
              </w:rPr>
              <w:t>Date:</w:t>
            </w:r>
          </w:p>
        </w:tc>
        <w:tc>
          <w:tcPr>
            <w:tcW w:w="7920" w:type="dxa"/>
            <w:shd w:val="clear" w:color="auto" w:fill="auto"/>
          </w:tcPr>
          <w:p w:rsidR="004D7A2D" w:rsidP="00F42BA1" w14:paraId="5FB608FC" w14:textId="437454DC">
            <w:pPr>
              <w:pStyle w:val="TableParagraph"/>
              <w:spacing w:before="119"/>
              <w:ind w:left="107" w:right="171"/>
              <w:jc w:val="both"/>
              <w:rPr>
                <w:rFonts w:ascii="Arial" w:eastAsia="Arial" w:hAnsi="Arial" w:cs="Arial"/>
                <w:sz w:val="20"/>
                <w:szCs w:val="22"/>
                <w:lang w:val="en-US" w:eastAsia="en-US" w:bidi="ar-SA"/>
              </w:rPr>
            </w:pPr>
            <w:r>
              <w:rPr>
                <w:rFonts w:ascii="Arial" w:eastAsia="Arial" w:hAnsi="Arial" w:cs="Arial"/>
                <w:sz w:val="20"/>
                <w:szCs w:val="22"/>
                <w:lang w:val="en-US" w:eastAsia="en-US" w:bidi="ar-SA"/>
              </w:rPr>
              <w:t>The</w:t>
            </w:r>
            <w:r>
              <w:rPr>
                <w:rFonts w:ascii="Arial" w:eastAsia="Arial" w:hAnsi="Arial" w:cs="Arial"/>
                <w:spacing w:val="-6"/>
                <w:sz w:val="20"/>
                <w:szCs w:val="22"/>
                <w:lang w:val="en-US" w:eastAsia="en-US" w:bidi="ar-SA"/>
              </w:rPr>
              <w:t xml:space="preserve"> </w:t>
            </w:r>
            <w:r>
              <w:rPr>
                <w:rFonts w:ascii="Arial" w:eastAsia="Arial" w:hAnsi="Arial" w:cs="Arial"/>
                <w:sz w:val="20"/>
                <w:szCs w:val="22"/>
                <w:lang w:val="en-US" w:eastAsia="en-US" w:bidi="ar-SA"/>
              </w:rPr>
              <w:t>Offering</w:t>
            </w:r>
            <w:r>
              <w:rPr>
                <w:rFonts w:ascii="Arial" w:eastAsia="Arial" w:hAnsi="Arial" w:cs="Arial"/>
                <w:spacing w:val="-2"/>
                <w:sz w:val="20"/>
                <w:szCs w:val="22"/>
                <w:lang w:val="en-US" w:eastAsia="en-US" w:bidi="ar-SA"/>
              </w:rPr>
              <w:t xml:space="preserve"> </w:t>
            </w:r>
            <w:r>
              <w:rPr>
                <w:rFonts w:ascii="Arial" w:eastAsia="Arial" w:hAnsi="Arial" w:cs="Arial"/>
                <w:sz w:val="20"/>
                <w:szCs w:val="22"/>
                <w:lang w:val="en-US" w:eastAsia="en-US" w:bidi="ar-SA"/>
              </w:rPr>
              <w:t xml:space="preserve">is expected to close on or </w:t>
            </w:r>
            <w:r w:rsidRPr="00426DA7">
              <w:rPr>
                <w:rFonts w:ascii="Arial" w:eastAsia="Arial" w:hAnsi="Arial" w:cs="Arial"/>
                <w:sz w:val="20"/>
                <w:szCs w:val="20"/>
                <w:lang w:val="en-US" w:eastAsia="en-US" w:bidi="ar-SA"/>
              </w:rPr>
              <w:t xml:space="preserve">about </w:t>
            </w:r>
            <w:r w:rsidR="00A11AF5">
              <w:rPr>
                <w:rFonts w:ascii="Arial" w:eastAsia="Arial" w:hAnsi="Arial" w:cs="Arial"/>
                <w:sz w:val="20"/>
                <w:szCs w:val="20"/>
                <w:lang w:val="en-US" w:eastAsia="en-US" w:bidi="ar-SA"/>
              </w:rPr>
              <w:t xml:space="preserve">May </w:t>
            </w:r>
            <w:r w:rsidR="007A4138">
              <w:rPr>
                <w:rFonts w:ascii="Arial" w:eastAsia="Arial" w:hAnsi="Arial" w:cs="Arial"/>
                <w:sz w:val="20"/>
                <w:szCs w:val="20"/>
                <w:lang w:val="en-US" w:eastAsia="en-US" w:bidi="ar-SA"/>
              </w:rPr>
              <w:t>23</w:t>
            </w:r>
            <w:r w:rsidR="00A11AF5">
              <w:rPr>
                <w:rFonts w:ascii="Arial" w:eastAsia="Arial" w:hAnsi="Arial" w:cs="Arial"/>
                <w:sz w:val="20"/>
                <w:szCs w:val="20"/>
                <w:lang w:val="en-US" w:eastAsia="en-US" w:bidi="ar-SA"/>
              </w:rPr>
              <w:t>, 2025</w:t>
            </w:r>
            <w:r w:rsidR="00A077D2">
              <w:rPr>
                <w:rFonts w:ascii="Arial" w:eastAsia="Arial" w:hAnsi="Arial" w:cs="Arial"/>
                <w:sz w:val="20"/>
                <w:szCs w:val="22"/>
                <w:lang w:val="en-US" w:eastAsia="en-US" w:bidi="ar-SA"/>
              </w:rPr>
              <w:t xml:space="preserve"> (the </w:t>
            </w:r>
            <w:r w:rsidR="00782D24">
              <w:rPr>
                <w:rFonts w:ascii="Arial" w:eastAsia="Arial" w:hAnsi="Arial" w:cs="Arial"/>
                <w:sz w:val="20"/>
                <w:szCs w:val="22"/>
                <w:lang w:val="en-US" w:eastAsia="en-US" w:bidi="ar-SA"/>
              </w:rPr>
              <w:t>“</w:t>
            </w:r>
            <w:r w:rsidR="00A077D2">
              <w:rPr>
                <w:rFonts w:ascii="Arial" w:eastAsia="Arial" w:hAnsi="Arial" w:cs="Arial"/>
                <w:b/>
                <w:bCs/>
                <w:sz w:val="20"/>
                <w:szCs w:val="22"/>
                <w:lang w:val="en-US" w:eastAsia="en-US" w:bidi="ar-SA"/>
              </w:rPr>
              <w:t>Closing Date</w:t>
            </w:r>
            <w:r w:rsidR="00782D24">
              <w:rPr>
                <w:rFonts w:ascii="Arial" w:eastAsia="Arial" w:hAnsi="Arial" w:cs="Arial"/>
                <w:sz w:val="20"/>
                <w:szCs w:val="22"/>
                <w:lang w:val="en-US" w:eastAsia="en-US" w:bidi="ar-SA"/>
              </w:rPr>
              <w:t>”</w:t>
            </w:r>
            <w:r w:rsidR="00A077D2">
              <w:rPr>
                <w:rFonts w:ascii="Arial" w:eastAsia="Arial" w:hAnsi="Arial" w:cs="Arial"/>
                <w:sz w:val="20"/>
                <w:szCs w:val="22"/>
                <w:lang w:val="en-US" w:eastAsia="en-US" w:bidi="ar-SA"/>
              </w:rPr>
              <w:t>)</w:t>
            </w:r>
            <w:r w:rsidR="005B588E">
              <w:rPr>
                <w:rFonts w:ascii="Arial" w:eastAsia="Arial" w:hAnsi="Arial" w:cs="Arial"/>
                <w:sz w:val="20"/>
                <w:szCs w:val="22"/>
                <w:lang w:val="en-US" w:eastAsia="en-US" w:bidi="ar-SA"/>
              </w:rPr>
              <w:t xml:space="preserve">, </w:t>
            </w:r>
            <w:r w:rsidRPr="00341085" w:rsidR="005B588E">
              <w:rPr>
                <w:rFonts w:ascii="Arial" w:eastAsia="Arial" w:hAnsi="Arial" w:cs="Arial"/>
                <w:sz w:val="20"/>
                <w:szCs w:val="20"/>
                <w:lang w:val="en-CA" w:eastAsia="en-US" w:bidi="ar-SA"/>
              </w:rPr>
              <w:t xml:space="preserve">or such other date as </w:t>
            </w:r>
            <w:r w:rsidR="00A11AF5">
              <w:rPr>
                <w:rFonts w:ascii="Arial" w:eastAsia="Arial" w:hAnsi="Arial" w:cs="Arial"/>
                <w:sz w:val="20"/>
                <w:szCs w:val="20"/>
                <w:lang w:val="en-CA" w:eastAsia="en-US" w:bidi="ar-SA"/>
              </w:rPr>
              <w:t>determined by</w:t>
            </w:r>
            <w:r w:rsidRPr="00341085" w:rsidR="005B588E">
              <w:rPr>
                <w:rFonts w:ascii="Arial" w:eastAsia="Arial" w:hAnsi="Arial" w:cs="Arial"/>
                <w:sz w:val="20"/>
                <w:szCs w:val="20"/>
                <w:lang w:val="en-CA" w:eastAsia="en-US" w:bidi="ar-SA"/>
              </w:rPr>
              <w:t xml:space="preserve"> the Company</w:t>
            </w:r>
            <w:r w:rsidR="00A11AF5">
              <w:rPr>
                <w:rFonts w:ascii="Arial" w:eastAsia="Arial" w:hAnsi="Arial" w:cs="Arial"/>
                <w:sz w:val="20"/>
                <w:szCs w:val="20"/>
                <w:lang w:val="en-CA" w:eastAsia="en-US" w:bidi="ar-SA"/>
              </w:rPr>
              <w:t xml:space="preserve">, </w:t>
            </w:r>
            <w:r w:rsidRPr="00341085" w:rsidR="005B588E">
              <w:rPr>
                <w:rFonts w:ascii="Arial" w:eastAsia="Arial" w:hAnsi="Arial" w:cs="Arial"/>
                <w:sz w:val="20"/>
                <w:szCs w:val="20"/>
                <w:lang w:val="en-CA" w:eastAsia="en-US" w:bidi="ar-SA"/>
              </w:rPr>
              <w:t>such date being no later than 45 days</w:t>
            </w:r>
            <w:r w:rsidR="005B588E">
              <w:rPr>
                <w:rFonts w:ascii="Arial" w:eastAsia="Arial" w:hAnsi="Arial" w:cs="Arial"/>
                <w:sz w:val="20"/>
                <w:szCs w:val="20"/>
                <w:lang w:val="en-CA" w:eastAsia="en-US" w:bidi="ar-SA"/>
              </w:rPr>
              <w:t xml:space="preserve"> </w:t>
            </w:r>
            <w:r w:rsidRPr="00341085" w:rsidR="005B588E">
              <w:rPr>
                <w:rFonts w:ascii="Arial" w:eastAsia="Arial" w:hAnsi="Arial" w:cs="Arial"/>
                <w:sz w:val="20"/>
                <w:szCs w:val="20"/>
                <w:lang w:val="en-CA" w:eastAsia="en-US" w:bidi="ar-SA"/>
              </w:rPr>
              <w:t>from the date the Company issues a press release announcing the Offering</w:t>
            </w:r>
            <w:r>
              <w:rPr>
                <w:rFonts w:ascii="Arial" w:eastAsia="Arial" w:hAnsi="Arial" w:cs="Arial"/>
                <w:sz w:val="20"/>
                <w:szCs w:val="22"/>
                <w:lang w:val="en-US" w:eastAsia="en-US" w:bidi="ar-SA"/>
              </w:rPr>
              <w:t>.</w:t>
            </w:r>
          </w:p>
        </w:tc>
      </w:tr>
      <w:tr w14:paraId="0E0B54A4" w14:textId="77777777" w:rsidTr="004D2856">
        <w:tblPrEx>
          <w:tblW w:w="9615" w:type="dxa"/>
          <w:tblInd w:w="190" w:type="dxa"/>
          <w:tblLayout w:type="fixed"/>
          <w:tblLook w:val="01E0"/>
        </w:tblPrEx>
        <w:trPr>
          <w:trHeight w:val="895"/>
        </w:trPr>
        <w:tc>
          <w:tcPr>
            <w:tcW w:w="1695" w:type="dxa"/>
          </w:tcPr>
          <w:p w:rsidR="004D7A2D" w14:paraId="02DA4A8B" w14:textId="77777777">
            <w:pPr>
              <w:pStyle w:val="TableParagraph"/>
              <w:spacing w:before="119"/>
              <w:ind w:left="107"/>
              <w:rPr>
                <w:rFonts w:ascii="Arial" w:eastAsia="Arial" w:hAnsi="Arial" w:cs="Arial"/>
                <w:b/>
                <w:sz w:val="20"/>
                <w:szCs w:val="22"/>
                <w:lang w:val="en-US" w:eastAsia="en-US" w:bidi="ar-SA"/>
              </w:rPr>
            </w:pPr>
            <w:r>
              <w:rPr>
                <w:rFonts w:ascii="Arial" w:eastAsia="Arial" w:hAnsi="Arial" w:cs="Arial"/>
                <w:b/>
                <w:spacing w:val="-2"/>
                <w:sz w:val="20"/>
                <w:szCs w:val="22"/>
                <w:lang w:val="en-US" w:eastAsia="en-US" w:bidi="ar-SA"/>
              </w:rPr>
              <w:t>Exchange:</w:t>
            </w:r>
          </w:p>
        </w:tc>
        <w:tc>
          <w:tcPr>
            <w:tcW w:w="7920" w:type="dxa"/>
          </w:tcPr>
          <w:p w:rsidR="004D7A2D" w:rsidP="00E71BCC" w14:paraId="0B6A74B1" w14:textId="2A6A3820">
            <w:pPr>
              <w:pStyle w:val="TableParagraph"/>
              <w:spacing w:before="119"/>
              <w:ind w:left="107" w:right="175"/>
              <w:jc w:val="both"/>
              <w:rPr>
                <w:rFonts w:ascii="Arial" w:eastAsia="Arial" w:hAnsi="Arial" w:cs="Arial"/>
                <w:sz w:val="20"/>
                <w:szCs w:val="22"/>
                <w:lang w:val="en-US" w:eastAsia="en-US" w:bidi="ar-SA"/>
              </w:rPr>
            </w:pPr>
            <w:r>
              <w:rPr>
                <w:rFonts w:ascii="Arial" w:eastAsia="Arial" w:hAnsi="Arial" w:cs="Arial"/>
                <w:sz w:val="20"/>
                <w:szCs w:val="22"/>
                <w:lang w:val="en-US" w:eastAsia="en-US" w:bidi="ar-SA"/>
              </w:rPr>
              <w:t xml:space="preserve">The Common Shares are listed for trading on the </w:t>
            </w:r>
            <w:r w:rsidR="00A11AF5">
              <w:rPr>
                <w:rFonts w:ascii="Arial" w:eastAsia="Arial" w:hAnsi="Arial" w:cs="Arial"/>
                <w:sz w:val="20"/>
                <w:szCs w:val="22"/>
                <w:lang w:val="en-US" w:eastAsia="en-US" w:bidi="ar-SA"/>
              </w:rPr>
              <w:t>Canadian Securities Exchange</w:t>
            </w:r>
            <w:r w:rsidR="00ED0696">
              <w:rPr>
                <w:rFonts w:ascii="Arial" w:eastAsia="Arial" w:hAnsi="Arial" w:cs="Arial"/>
                <w:sz w:val="20"/>
                <w:szCs w:val="22"/>
                <w:lang w:val="en-US" w:eastAsia="en-US" w:bidi="ar-SA"/>
              </w:rPr>
              <w:t xml:space="preserve"> </w:t>
            </w:r>
            <w:r>
              <w:rPr>
                <w:rFonts w:ascii="Arial" w:eastAsia="Arial" w:hAnsi="Arial" w:cs="Arial"/>
                <w:sz w:val="20"/>
                <w:szCs w:val="22"/>
                <w:lang w:val="en-US" w:eastAsia="en-US" w:bidi="ar-SA"/>
              </w:rPr>
              <w:t xml:space="preserve">(the </w:t>
            </w:r>
            <w:r w:rsidR="00782D24">
              <w:rPr>
                <w:rFonts w:ascii="Arial" w:eastAsia="Arial" w:hAnsi="Arial" w:cs="Arial"/>
                <w:sz w:val="20"/>
                <w:szCs w:val="22"/>
                <w:lang w:val="en-US" w:eastAsia="en-US" w:bidi="ar-SA"/>
              </w:rPr>
              <w:t>“</w:t>
            </w:r>
            <w:r w:rsidR="00A11AF5">
              <w:rPr>
                <w:rFonts w:ascii="Arial" w:eastAsia="Arial" w:hAnsi="Arial" w:cs="Arial"/>
                <w:b/>
                <w:sz w:val="20"/>
                <w:szCs w:val="22"/>
                <w:lang w:val="en-US" w:eastAsia="en-US" w:bidi="ar-SA"/>
              </w:rPr>
              <w:t>CSE</w:t>
            </w:r>
            <w:r w:rsidR="00782D24">
              <w:rPr>
                <w:rFonts w:ascii="Arial" w:eastAsia="Arial" w:hAnsi="Arial" w:cs="Arial"/>
                <w:sz w:val="20"/>
                <w:szCs w:val="22"/>
                <w:lang w:val="en-US" w:eastAsia="en-US" w:bidi="ar-SA"/>
              </w:rPr>
              <w:t>”</w:t>
            </w:r>
            <w:r>
              <w:rPr>
                <w:rFonts w:ascii="Arial" w:eastAsia="Arial" w:hAnsi="Arial" w:cs="Arial"/>
                <w:sz w:val="20"/>
                <w:szCs w:val="22"/>
                <w:lang w:val="en-US" w:eastAsia="en-US" w:bidi="ar-SA"/>
              </w:rPr>
              <w:t xml:space="preserve">) under the symbol </w:t>
            </w:r>
            <w:r w:rsidR="00782D24">
              <w:rPr>
                <w:rFonts w:ascii="Arial" w:eastAsia="Arial" w:hAnsi="Arial" w:cs="Arial"/>
                <w:sz w:val="20"/>
                <w:szCs w:val="22"/>
                <w:lang w:val="en-US" w:eastAsia="en-US" w:bidi="ar-SA"/>
              </w:rPr>
              <w:t>“</w:t>
            </w:r>
            <w:r w:rsidR="00A11AF5">
              <w:rPr>
                <w:rFonts w:ascii="Arial" w:eastAsia="Arial" w:hAnsi="Arial" w:cs="Arial"/>
                <w:sz w:val="20"/>
                <w:szCs w:val="22"/>
                <w:lang w:val="en-US" w:eastAsia="en-US" w:bidi="ar-SA"/>
              </w:rPr>
              <w:t>STCU</w:t>
            </w:r>
            <w:r w:rsidR="00782D24">
              <w:rPr>
                <w:rFonts w:ascii="Arial" w:eastAsia="Arial" w:hAnsi="Arial" w:cs="Arial"/>
                <w:sz w:val="20"/>
                <w:szCs w:val="22"/>
                <w:lang w:val="en-US" w:eastAsia="en-US" w:bidi="ar-SA"/>
              </w:rPr>
              <w:t>”</w:t>
            </w:r>
            <w:r w:rsidR="00E351AD">
              <w:rPr>
                <w:rFonts w:ascii="Arial" w:eastAsia="Arial" w:hAnsi="Arial" w:cs="Arial"/>
                <w:sz w:val="20"/>
                <w:szCs w:val="22"/>
                <w:lang w:val="en-US" w:eastAsia="en-US" w:bidi="ar-SA"/>
              </w:rPr>
              <w:t xml:space="preserve">, </w:t>
            </w:r>
            <w:r w:rsidR="00B62838">
              <w:rPr>
                <w:rFonts w:ascii="Arial" w:eastAsia="Arial" w:hAnsi="Arial" w:cs="Arial"/>
                <w:sz w:val="20"/>
                <w:szCs w:val="22"/>
                <w:lang w:val="en-US" w:eastAsia="en-US" w:bidi="ar-SA"/>
              </w:rPr>
              <w:t xml:space="preserve">on </w:t>
            </w:r>
            <w:r w:rsidR="00312B6C">
              <w:rPr>
                <w:rFonts w:ascii="Arial" w:eastAsia="Arial" w:hAnsi="Arial" w:cs="Arial"/>
                <w:sz w:val="20"/>
                <w:szCs w:val="22"/>
                <w:lang w:val="en-US" w:eastAsia="en-US" w:bidi="ar-SA"/>
              </w:rPr>
              <w:t xml:space="preserve">the </w:t>
            </w:r>
            <w:r w:rsidRPr="00B62838" w:rsidR="00B62838">
              <w:rPr>
                <w:rFonts w:ascii="Arial" w:eastAsia="Arial" w:hAnsi="Arial" w:cs="Arial"/>
                <w:sz w:val="20"/>
                <w:szCs w:val="22"/>
                <w:lang w:val="en-US" w:eastAsia="en-US" w:bidi="ar-SA"/>
              </w:rPr>
              <w:t xml:space="preserve">OTC under </w:t>
            </w:r>
            <w:r w:rsidR="00312B6C">
              <w:rPr>
                <w:rFonts w:ascii="Arial" w:eastAsia="Arial" w:hAnsi="Arial" w:cs="Arial"/>
                <w:sz w:val="20"/>
                <w:szCs w:val="22"/>
                <w:lang w:val="en-US" w:eastAsia="en-US" w:bidi="ar-SA"/>
              </w:rPr>
              <w:t>the symbol</w:t>
            </w:r>
            <w:r w:rsidRPr="00B62838" w:rsidR="00B62838">
              <w:rPr>
                <w:rFonts w:ascii="Arial" w:eastAsia="Arial" w:hAnsi="Arial" w:cs="Arial"/>
                <w:sz w:val="20"/>
                <w:szCs w:val="22"/>
                <w:lang w:val="en-US" w:eastAsia="en-US" w:bidi="ar-SA"/>
              </w:rPr>
              <w:t xml:space="preserve"> </w:t>
            </w:r>
            <w:r w:rsidR="00782D24">
              <w:rPr>
                <w:rFonts w:ascii="Arial" w:eastAsia="Arial" w:hAnsi="Arial" w:cs="Arial"/>
                <w:sz w:val="20"/>
                <w:szCs w:val="22"/>
                <w:lang w:val="en-US" w:eastAsia="en-US" w:bidi="ar-SA"/>
              </w:rPr>
              <w:t>“</w:t>
            </w:r>
            <w:r w:rsidR="00A11AF5">
              <w:rPr>
                <w:rFonts w:ascii="Arial" w:eastAsia="Arial" w:hAnsi="Arial" w:cs="Arial"/>
                <w:sz w:val="20"/>
                <w:szCs w:val="22"/>
                <w:lang w:val="en-US" w:eastAsia="en-US" w:bidi="ar-SA"/>
              </w:rPr>
              <w:t>STCUF</w:t>
            </w:r>
            <w:r w:rsidR="00782D24">
              <w:rPr>
                <w:rFonts w:ascii="Arial" w:eastAsia="Arial" w:hAnsi="Arial" w:cs="Arial"/>
                <w:sz w:val="20"/>
                <w:szCs w:val="22"/>
                <w:lang w:val="en-US" w:eastAsia="en-US" w:bidi="ar-SA"/>
              </w:rPr>
              <w:t>”</w:t>
            </w:r>
            <w:r w:rsidR="00A11AF5">
              <w:rPr>
                <w:rFonts w:ascii="Arial" w:eastAsia="Arial" w:hAnsi="Arial" w:cs="Arial"/>
                <w:sz w:val="20"/>
                <w:szCs w:val="22"/>
                <w:lang w:val="en-US" w:eastAsia="en-US" w:bidi="ar-SA"/>
              </w:rPr>
              <w:t xml:space="preserve"> </w:t>
            </w:r>
            <w:r w:rsidR="00E351AD">
              <w:rPr>
                <w:rFonts w:ascii="Arial" w:eastAsia="Arial" w:hAnsi="Arial" w:cs="Arial"/>
                <w:sz w:val="20"/>
                <w:szCs w:val="22"/>
                <w:lang w:val="en-US" w:eastAsia="en-US" w:bidi="ar-SA"/>
              </w:rPr>
              <w:t>and on the Frankfurt Stock Exchange under the symbol “PP0”</w:t>
            </w:r>
            <w:r w:rsidR="00B62838">
              <w:rPr>
                <w:rFonts w:ascii="Arial" w:eastAsia="Arial" w:hAnsi="Arial" w:cs="Arial"/>
                <w:sz w:val="20"/>
                <w:szCs w:val="22"/>
                <w:lang w:val="en-US" w:eastAsia="en-US" w:bidi="ar-SA"/>
              </w:rPr>
              <w:t>.</w:t>
            </w:r>
            <w:r>
              <w:rPr>
                <w:rFonts w:ascii="Arial" w:eastAsia="Arial" w:hAnsi="Arial" w:cs="Arial"/>
                <w:sz w:val="20"/>
                <w:szCs w:val="22"/>
                <w:lang w:val="en-US" w:eastAsia="en-US" w:bidi="ar-SA"/>
              </w:rPr>
              <w:t xml:space="preserve"> The Warrants</w:t>
            </w:r>
            <w:r w:rsidR="00FA47FF">
              <w:rPr>
                <w:rFonts w:ascii="Arial" w:eastAsia="Arial" w:hAnsi="Arial" w:cs="Arial"/>
                <w:sz w:val="20"/>
                <w:szCs w:val="22"/>
                <w:lang w:val="en-US" w:eastAsia="en-US" w:bidi="ar-SA"/>
              </w:rPr>
              <w:t xml:space="preserve"> to be issued pursuant to the Offering</w:t>
            </w:r>
            <w:r>
              <w:rPr>
                <w:rFonts w:ascii="Arial" w:eastAsia="Arial" w:hAnsi="Arial" w:cs="Arial"/>
                <w:sz w:val="20"/>
                <w:szCs w:val="22"/>
                <w:lang w:val="en-US" w:eastAsia="en-US" w:bidi="ar-SA"/>
              </w:rPr>
              <w:t xml:space="preserve"> </w:t>
            </w:r>
            <w:r w:rsidR="00FA47FF">
              <w:rPr>
                <w:rFonts w:ascii="Arial" w:eastAsia="Arial" w:hAnsi="Arial" w:cs="Arial"/>
                <w:sz w:val="20"/>
                <w:szCs w:val="22"/>
                <w:lang w:val="en-US" w:eastAsia="en-US" w:bidi="ar-SA"/>
              </w:rPr>
              <w:t xml:space="preserve">will not be </w:t>
            </w:r>
            <w:r>
              <w:rPr>
                <w:rFonts w:ascii="Arial" w:eastAsia="Arial" w:hAnsi="Arial" w:cs="Arial"/>
                <w:sz w:val="20"/>
                <w:szCs w:val="22"/>
                <w:lang w:val="en-US" w:eastAsia="en-US" w:bidi="ar-SA"/>
              </w:rPr>
              <w:t>listed for trading on any stock exchange.</w:t>
            </w:r>
          </w:p>
        </w:tc>
      </w:tr>
      <w:tr w14:paraId="3AF8DAF8" w14:textId="77777777" w:rsidTr="00A51AA1">
        <w:tblPrEx>
          <w:tblW w:w="9615" w:type="dxa"/>
          <w:tblInd w:w="190" w:type="dxa"/>
          <w:tblLayout w:type="fixed"/>
          <w:tblLook w:val="01E0"/>
        </w:tblPrEx>
        <w:trPr>
          <w:trHeight w:val="616"/>
        </w:trPr>
        <w:tc>
          <w:tcPr>
            <w:tcW w:w="1695" w:type="dxa"/>
          </w:tcPr>
          <w:p w:rsidR="004D7A2D" w14:paraId="63BAD3BC" w14:textId="77777777">
            <w:pPr>
              <w:pStyle w:val="TableParagraph"/>
              <w:spacing w:before="122"/>
              <w:ind w:left="107"/>
              <w:rPr>
                <w:rFonts w:ascii="Arial" w:eastAsia="Arial" w:hAnsi="Arial" w:cs="Arial"/>
                <w:b/>
                <w:sz w:val="20"/>
                <w:szCs w:val="22"/>
                <w:lang w:val="en-US" w:eastAsia="en-US" w:bidi="ar-SA"/>
              </w:rPr>
            </w:pPr>
            <w:r>
              <w:rPr>
                <w:rFonts w:ascii="Arial" w:eastAsia="Arial" w:hAnsi="Arial" w:cs="Arial"/>
                <w:b/>
                <w:sz w:val="20"/>
                <w:szCs w:val="22"/>
                <w:lang w:val="en-US" w:eastAsia="en-US" w:bidi="ar-SA"/>
              </w:rPr>
              <w:t>Closing</w:t>
            </w:r>
            <w:r>
              <w:rPr>
                <w:rFonts w:ascii="Arial" w:eastAsia="Arial" w:hAnsi="Arial" w:cs="Arial"/>
                <w:b/>
                <w:spacing w:val="-11"/>
                <w:sz w:val="20"/>
                <w:szCs w:val="22"/>
                <w:lang w:val="en-US" w:eastAsia="en-US" w:bidi="ar-SA"/>
              </w:rPr>
              <w:t xml:space="preserve"> </w:t>
            </w:r>
            <w:r>
              <w:rPr>
                <w:rFonts w:ascii="Arial" w:eastAsia="Arial" w:hAnsi="Arial" w:cs="Arial"/>
                <w:b/>
                <w:spacing w:val="-2"/>
                <w:sz w:val="20"/>
                <w:szCs w:val="22"/>
                <w:lang w:val="en-US" w:eastAsia="en-US" w:bidi="ar-SA"/>
              </w:rPr>
              <w:t>Price:</w:t>
            </w:r>
          </w:p>
        </w:tc>
        <w:tc>
          <w:tcPr>
            <w:tcW w:w="7920" w:type="dxa"/>
          </w:tcPr>
          <w:p w:rsidR="004D7A2D" w:rsidRPr="009F5F5B" w14:paraId="1159BEC9" w14:textId="1CC0462D">
            <w:pPr>
              <w:pStyle w:val="TableParagraph"/>
              <w:spacing w:before="119"/>
              <w:ind w:left="107" w:right="513"/>
              <w:rPr>
                <w:rFonts w:ascii="Arial" w:eastAsia="Arial" w:hAnsi="Arial" w:cs="Arial"/>
                <w:b/>
                <w:bCs/>
                <w:sz w:val="20"/>
                <w:szCs w:val="20"/>
                <w:lang w:val="en-US" w:eastAsia="en-US" w:bidi="ar-SA"/>
              </w:rPr>
            </w:pPr>
            <w:r w:rsidRPr="009F5F5B">
              <w:rPr>
                <w:rFonts w:ascii="Arial" w:eastAsia="Arial" w:hAnsi="Arial" w:cs="Arial"/>
                <w:sz w:val="20"/>
                <w:szCs w:val="20"/>
                <w:lang w:val="en-US" w:eastAsia="en-US" w:bidi="ar-SA"/>
              </w:rPr>
              <w:t>The</w:t>
            </w:r>
            <w:r w:rsidRPr="009F5F5B">
              <w:rPr>
                <w:rFonts w:ascii="Arial" w:eastAsia="Arial" w:hAnsi="Arial" w:cs="Arial"/>
                <w:spacing w:val="-6"/>
                <w:sz w:val="20"/>
                <w:szCs w:val="20"/>
                <w:lang w:val="en-US" w:eastAsia="en-US" w:bidi="ar-SA"/>
              </w:rPr>
              <w:t xml:space="preserve"> </w:t>
            </w:r>
            <w:r w:rsidRPr="007361FD">
              <w:rPr>
                <w:rFonts w:ascii="Arial" w:eastAsia="Arial" w:hAnsi="Arial" w:cs="Arial"/>
                <w:sz w:val="20"/>
                <w:szCs w:val="20"/>
                <w:lang w:val="en-US" w:eastAsia="en-US" w:bidi="ar-SA"/>
              </w:rPr>
              <w:t>closing</w:t>
            </w:r>
            <w:r w:rsidRPr="007361FD">
              <w:rPr>
                <w:rFonts w:ascii="Arial" w:eastAsia="Arial" w:hAnsi="Arial" w:cs="Arial"/>
                <w:spacing w:val="-4"/>
                <w:sz w:val="20"/>
                <w:szCs w:val="20"/>
                <w:lang w:val="en-US" w:eastAsia="en-US" w:bidi="ar-SA"/>
              </w:rPr>
              <w:t xml:space="preserve"> </w:t>
            </w:r>
            <w:r w:rsidRPr="007361FD">
              <w:rPr>
                <w:rFonts w:ascii="Arial" w:eastAsia="Arial" w:hAnsi="Arial" w:cs="Arial"/>
                <w:sz w:val="20"/>
                <w:szCs w:val="20"/>
                <w:lang w:val="en-US" w:eastAsia="en-US" w:bidi="ar-SA"/>
              </w:rPr>
              <w:t>price</w:t>
            </w:r>
            <w:r w:rsidRPr="007361FD">
              <w:rPr>
                <w:rFonts w:ascii="Arial" w:eastAsia="Arial" w:hAnsi="Arial" w:cs="Arial"/>
                <w:spacing w:val="-6"/>
                <w:sz w:val="20"/>
                <w:szCs w:val="20"/>
                <w:lang w:val="en-US" w:eastAsia="en-US" w:bidi="ar-SA"/>
              </w:rPr>
              <w:t xml:space="preserve"> </w:t>
            </w:r>
            <w:r w:rsidRPr="007361FD">
              <w:rPr>
                <w:rFonts w:ascii="Arial" w:eastAsia="Arial" w:hAnsi="Arial" w:cs="Arial"/>
                <w:sz w:val="20"/>
                <w:szCs w:val="20"/>
                <w:lang w:val="en-US" w:eastAsia="en-US" w:bidi="ar-SA"/>
              </w:rPr>
              <w:t>of</w:t>
            </w:r>
            <w:r w:rsidRPr="007361FD">
              <w:rPr>
                <w:rFonts w:ascii="Arial" w:eastAsia="Arial" w:hAnsi="Arial" w:cs="Arial"/>
                <w:spacing w:val="-6"/>
                <w:sz w:val="20"/>
                <w:szCs w:val="20"/>
                <w:lang w:val="en-US" w:eastAsia="en-US" w:bidi="ar-SA"/>
              </w:rPr>
              <w:t xml:space="preserve"> </w:t>
            </w:r>
            <w:r w:rsidRPr="007361FD">
              <w:rPr>
                <w:rFonts w:ascii="Arial" w:eastAsia="Arial" w:hAnsi="Arial" w:cs="Arial"/>
                <w:sz w:val="20"/>
                <w:szCs w:val="20"/>
                <w:lang w:val="en-US" w:eastAsia="en-US" w:bidi="ar-SA"/>
              </w:rPr>
              <w:t>the</w:t>
            </w:r>
            <w:r w:rsidRPr="007361FD">
              <w:rPr>
                <w:rFonts w:ascii="Arial" w:eastAsia="Arial" w:hAnsi="Arial" w:cs="Arial"/>
                <w:spacing w:val="-6"/>
                <w:sz w:val="20"/>
                <w:szCs w:val="20"/>
                <w:lang w:val="en-US" w:eastAsia="en-US" w:bidi="ar-SA"/>
              </w:rPr>
              <w:t xml:space="preserve"> </w:t>
            </w:r>
            <w:r w:rsidRPr="007361FD">
              <w:rPr>
                <w:rFonts w:ascii="Arial" w:eastAsia="Arial" w:hAnsi="Arial" w:cs="Arial"/>
                <w:sz w:val="20"/>
                <w:szCs w:val="20"/>
                <w:lang w:val="en-US" w:eastAsia="en-US" w:bidi="ar-SA"/>
              </w:rPr>
              <w:t>Common</w:t>
            </w:r>
            <w:r w:rsidRPr="007361FD">
              <w:rPr>
                <w:rFonts w:ascii="Arial" w:eastAsia="Arial" w:hAnsi="Arial" w:cs="Arial"/>
                <w:spacing w:val="-6"/>
                <w:sz w:val="20"/>
                <w:szCs w:val="20"/>
                <w:lang w:val="en-US" w:eastAsia="en-US" w:bidi="ar-SA"/>
              </w:rPr>
              <w:t xml:space="preserve"> </w:t>
            </w:r>
            <w:r w:rsidRPr="007361FD">
              <w:rPr>
                <w:rFonts w:ascii="Arial" w:eastAsia="Arial" w:hAnsi="Arial" w:cs="Arial"/>
                <w:sz w:val="20"/>
                <w:szCs w:val="20"/>
                <w:lang w:val="en-US" w:eastAsia="en-US" w:bidi="ar-SA"/>
              </w:rPr>
              <w:t>Shares</w:t>
            </w:r>
            <w:r w:rsidRPr="007361FD">
              <w:rPr>
                <w:rFonts w:ascii="Arial" w:eastAsia="Arial" w:hAnsi="Arial" w:cs="Arial"/>
                <w:spacing w:val="-5"/>
                <w:sz w:val="20"/>
                <w:szCs w:val="20"/>
                <w:lang w:val="en-US" w:eastAsia="en-US" w:bidi="ar-SA"/>
              </w:rPr>
              <w:t xml:space="preserve"> </w:t>
            </w:r>
            <w:r w:rsidRPr="007361FD">
              <w:rPr>
                <w:rFonts w:ascii="Arial" w:eastAsia="Arial" w:hAnsi="Arial" w:cs="Arial"/>
                <w:sz w:val="20"/>
                <w:szCs w:val="20"/>
                <w:lang w:val="en-US" w:eastAsia="en-US" w:bidi="ar-SA"/>
              </w:rPr>
              <w:t>on</w:t>
            </w:r>
            <w:r w:rsidRPr="007361FD">
              <w:rPr>
                <w:rFonts w:ascii="Arial" w:eastAsia="Arial" w:hAnsi="Arial" w:cs="Arial"/>
                <w:spacing w:val="-5"/>
                <w:sz w:val="20"/>
                <w:szCs w:val="20"/>
                <w:lang w:val="en-US" w:eastAsia="en-US" w:bidi="ar-SA"/>
              </w:rPr>
              <w:t xml:space="preserve"> </w:t>
            </w:r>
            <w:r w:rsidRPr="007361FD">
              <w:rPr>
                <w:rFonts w:ascii="Arial" w:eastAsia="Arial" w:hAnsi="Arial" w:cs="Arial"/>
                <w:sz w:val="20"/>
                <w:szCs w:val="20"/>
                <w:lang w:val="en-US" w:eastAsia="en-US" w:bidi="ar-SA"/>
              </w:rPr>
              <w:t>the</w:t>
            </w:r>
            <w:r w:rsidRPr="007361FD">
              <w:rPr>
                <w:rFonts w:ascii="Arial" w:eastAsia="Arial" w:hAnsi="Arial" w:cs="Arial"/>
                <w:spacing w:val="-6"/>
                <w:sz w:val="20"/>
                <w:szCs w:val="20"/>
                <w:lang w:val="en-US" w:eastAsia="en-US" w:bidi="ar-SA"/>
              </w:rPr>
              <w:t xml:space="preserve"> </w:t>
            </w:r>
            <w:r w:rsidR="00A11AF5">
              <w:rPr>
                <w:rFonts w:ascii="Arial" w:eastAsia="Arial" w:hAnsi="Arial" w:cs="Arial"/>
                <w:sz w:val="20"/>
                <w:szCs w:val="20"/>
                <w:lang w:val="en-US" w:eastAsia="en-US" w:bidi="ar-SA"/>
              </w:rPr>
              <w:t>CSE</w:t>
            </w:r>
            <w:r w:rsidRPr="007361FD">
              <w:rPr>
                <w:rFonts w:ascii="Arial" w:eastAsia="Arial" w:hAnsi="Arial" w:cs="Arial"/>
                <w:spacing w:val="-4"/>
                <w:sz w:val="20"/>
                <w:szCs w:val="20"/>
                <w:lang w:val="en-US" w:eastAsia="en-US" w:bidi="ar-SA"/>
              </w:rPr>
              <w:t xml:space="preserve"> </w:t>
            </w:r>
            <w:r w:rsidRPr="007361FD">
              <w:rPr>
                <w:rFonts w:ascii="Arial" w:eastAsia="Arial" w:hAnsi="Arial" w:cs="Arial"/>
                <w:sz w:val="20"/>
                <w:szCs w:val="20"/>
                <w:lang w:val="en-US" w:eastAsia="en-US" w:bidi="ar-SA"/>
              </w:rPr>
              <w:t>on</w:t>
            </w:r>
            <w:r w:rsidRPr="007361FD">
              <w:rPr>
                <w:rFonts w:ascii="Arial" w:eastAsia="Arial" w:hAnsi="Arial" w:cs="Arial"/>
                <w:spacing w:val="-1"/>
                <w:sz w:val="20"/>
                <w:szCs w:val="20"/>
                <w:lang w:val="en-US" w:eastAsia="en-US" w:bidi="ar-SA"/>
              </w:rPr>
              <w:t xml:space="preserve"> </w:t>
            </w:r>
            <w:r w:rsidR="00A11AF5">
              <w:rPr>
                <w:rFonts w:ascii="Arial" w:eastAsia="Arial" w:hAnsi="Arial" w:cs="Arial"/>
                <w:sz w:val="20"/>
                <w:szCs w:val="20"/>
                <w:lang w:val="en-US" w:eastAsia="en-US" w:bidi="ar-SA"/>
              </w:rPr>
              <w:t xml:space="preserve">May </w:t>
            </w:r>
            <w:r w:rsidR="007A4138">
              <w:rPr>
                <w:rFonts w:ascii="Arial" w:eastAsia="Arial" w:hAnsi="Arial" w:cs="Arial"/>
                <w:sz w:val="20"/>
                <w:szCs w:val="20"/>
                <w:lang w:val="en-US" w:eastAsia="en-US" w:bidi="ar-SA"/>
              </w:rPr>
              <w:t>14</w:t>
            </w:r>
            <w:r w:rsidR="00A11AF5">
              <w:rPr>
                <w:rFonts w:ascii="Arial" w:eastAsia="Arial" w:hAnsi="Arial" w:cs="Arial"/>
                <w:sz w:val="20"/>
                <w:szCs w:val="20"/>
                <w:lang w:val="en-US" w:eastAsia="en-US" w:bidi="ar-SA"/>
              </w:rPr>
              <w:t>, 2025</w:t>
            </w:r>
            <w:r w:rsidRPr="007361FD" w:rsidR="00C46898">
              <w:rPr>
                <w:rFonts w:ascii="Arial" w:eastAsia="Arial" w:hAnsi="Arial" w:cs="Arial"/>
                <w:sz w:val="20"/>
                <w:szCs w:val="20"/>
                <w:lang w:val="en-US" w:eastAsia="en-US" w:bidi="ar-SA"/>
              </w:rPr>
              <w:t xml:space="preserve"> </w:t>
            </w:r>
            <w:r w:rsidRPr="007361FD">
              <w:rPr>
                <w:rFonts w:ascii="Arial" w:eastAsia="Arial" w:hAnsi="Arial" w:cs="Arial"/>
                <w:sz w:val="20"/>
                <w:szCs w:val="20"/>
                <w:lang w:val="en-US" w:eastAsia="en-US" w:bidi="ar-SA"/>
              </w:rPr>
              <w:t>was $</w:t>
            </w:r>
            <w:r w:rsidR="00031659">
              <w:rPr>
                <w:rFonts w:ascii="Arial" w:eastAsia="Arial" w:hAnsi="Arial" w:cs="Arial"/>
                <w:sz w:val="20"/>
                <w:szCs w:val="20"/>
                <w:lang w:val="en-US" w:eastAsia="en-US" w:bidi="ar-SA"/>
              </w:rPr>
              <w:t>0.</w:t>
            </w:r>
            <w:r w:rsidR="007A4138">
              <w:rPr>
                <w:rFonts w:ascii="Arial" w:eastAsia="Arial" w:hAnsi="Arial" w:cs="Arial"/>
                <w:sz w:val="20"/>
                <w:szCs w:val="20"/>
                <w:lang w:val="en-US" w:eastAsia="en-US" w:bidi="ar-SA"/>
              </w:rPr>
              <w:t>57</w:t>
            </w:r>
            <w:r w:rsidRPr="007361FD">
              <w:rPr>
                <w:rFonts w:ascii="Arial" w:eastAsia="Arial" w:hAnsi="Arial" w:cs="Arial"/>
                <w:sz w:val="20"/>
                <w:szCs w:val="20"/>
                <w:lang w:val="en-US" w:eastAsia="en-US" w:bidi="ar-SA"/>
              </w:rPr>
              <w:t>.</w:t>
            </w:r>
            <w:r w:rsidRPr="009F5F5B" w:rsidR="00AC1765">
              <w:rPr>
                <w:rFonts w:ascii="Arial" w:eastAsia="Arial" w:hAnsi="Arial" w:cs="Arial"/>
                <w:sz w:val="20"/>
                <w:szCs w:val="20"/>
                <w:lang w:val="en-US" w:eastAsia="en-US" w:bidi="ar-SA"/>
              </w:rPr>
              <w:t xml:space="preserve"> </w:t>
            </w:r>
          </w:p>
        </w:tc>
      </w:tr>
    </w:tbl>
    <w:p w:rsidR="00BA703C" w:rsidRPr="00BA703C" w:rsidP="00BA703C" w14:paraId="77F52D8A" w14:textId="77777777">
      <w:pPr>
        <w:rPr>
          <w:sz w:val="20"/>
        </w:rPr>
        <w:sectPr w:rsidSect="00D45DC3">
          <w:headerReference w:type="default" r:id="rId7"/>
          <w:type w:val="continuous"/>
          <w:pgSz w:w="12240" w:h="15840"/>
          <w:pgMar w:top="1008" w:right="1267" w:bottom="245" w:left="1267" w:header="720" w:footer="806" w:gutter="0"/>
          <w:cols w:space="720"/>
        </w:sectPr>
      </w:pPr>
    </w:p>
    <w:p w:rsidR="004D7A2D" w:rsidRPr="003252BF" w:rsidP="00106D56" w14:paraId="226E1E82" w14:textId="3E487355">
      <w:pPr>
        <w:tabs>
          <w:tab w:val="left" w:pos="9540"/>
        </w:tabs>
        <w:spacing w:before="1"/>
        <w:jc w:val="both"/>
        <w:rPr>
          <w:b/>
          <w:sz w:val="20"/>
        </w:rPr>
      </w:pPr>
      <w:r>
        <w:rPr>
          <w:b/>
          <w:sz w:val="20"/>
        </w:rPr>
        <w:t>Star Copper</w:t>
      </w:r>
      <w:r w:rsidR="0066739D">
        <w:rPr>
          <w:b/>
          <w:spacing w:val="-2"/>
          <w:sz w:val="20"/>
        </w:rPr>
        <w:t xml:space="preserve"> </w:t>
      </w:r>
      <w:r w:rsidR="0066739D">
        <w:rPr>
          <w:b/>
          <w:sz w:val="20"/>
        </w:rPr>
        <w:t>is</w:t>
      </w:r>
      <w:r w:rsidR="0066739D">
        <w:rPr>
          <w:b/>
          <w:spacing w:val="-3"/>
          <w:sz w:val="20"/>
        </w:rPr>
        <w:t xml:space="preserve"> </w:t>
      </w:r>
      <w:r w:rsidR="0066739D">
        <w:rPr>
          <w:b/>
          <w:sz w:val="20"/>
        </w:rPr>
        <w:t>conducting</w:t>
      </w:r>
      <w:r w:rsidR="0066739D">
        <w:rPr>
          <w:b/>
          <w:spacing w:val="-1"/>
          <w:sz w:val="20"/>
        </w:rPr>
        <w:t xml:space="preserve"> </w:t>
      </w:r>
      <w:r w:rsidR="0066739D">
        <w:rPr>
          <w:b/>
          <w:sz w:val="20"/>
        </w:rPr>
        <w:t>a</w:t>
      </w:r>
      <w:r w:rsidR="0066739D">
        <w:rPr>
          <w:b/>
          <w:spacing w:val="-3"/>
          <w:sz w:val="20"/>
        </w:rPr>
        <w:t xml:space="preserve"> </w:t>
      </w:r>
      <w:r w:rsidR="0066739D">
        <w:rPr>
          <w:b/>
          <w:sz w:val="20"/>
        </w:rPr>
        <w:t>listed</w:t>
      </w:r>
      <w:r w:rsidR="0066739D">
        <w:rPr>
          <w:b/>
          <w:spacing w:val="-4"/>
          <w:sz w:val="20"/>
        </w:rPr>
        <w:t xml:space="preserve"> </w:t>
      </w:r>
      <w:r w:rsidR="0066739D">
        <w:rPr>
          <w:b/>
          <w:sz w:val="20"/>
        </w:rPr>
        <w:t>issuer</w:t>
      </w:r>
      <w:r w:rsidR="0066739D">
        <w:rPr>
          <w:b/>
          <w:spacing w:val="-3"/>
          <w:sz w:val="20"/>
        </w:rPr>
        <w:t xml:space="preserve"> </w:t>
      </w:r>
      <w:r w:rsidR="0066739D">
        <w:rPr>
          <w:b/>
          <w:sz w:val="20"/>
        </w:rPr>
        <w:t>financing</w:t>
      </w:r>
      <w:r w:rsidR="0066739D">
        <w:rPr>
          <w:b/>
          <w:spacing w:val="-2"/>
          <w:sz w:val="20"/>
        </w:rPr>
        <w:t xml:space="preserve"> </w:t>
      </w:r>
      <w:r w:rsidR="0066739D">
        <w:rPr>
          <w:b/>
          <w:sz w:val="20"/>
        </w:rPr>
        <w:t>under section</w:t>
      </w:r>
      <w:r w:rsidR="0066739D">
        <w:rPr>
          <w:b/>
          <w:spacing w:val="-2"/>
          <w:sz w:val="20"/>
        </w:rPr>
        <w:t xml:space="preserve"> </w:t>
      </w:r>
      <w:r w:rsidR="0066739D">
        <w:rPr>
          <w:b/>
          <w:sz w:val="20"/>
        </w:rPr>
        <w:t>5A.2</w:t>
      </w:r>
      <w:r w:rsidR="0066739D">
        <w:rPr>
          <w:b/>
          <w:spacing w:val="-3"/>
          <w:sz w:val="20"/>
        </w:rPr>
        <w:t xml:space="preserve"> </w:t>
      </w:r>
      <w:r w:rsidR="0066739D">
        <w:rPr>
          <w:b/>
          <w:sz w:val="20"/>
        </w:rPr>
        <w:t>of National Instrument</w:t>
      </w:r>
      <w:r w:rsidR="0066739D">
        <w:rPr>
          <w:b/>
          <w:spacing w:val="-6"/>
          <w:sz w:val="20"/>
        </w:rPr>
        <w:t xml:space="preserve"> </w:t>
      </w:r>
      <w:r w:rsidR="0066739D">
        <w:rPr>
          <w:b/>
          <w:sz w:val="20"/>
        </w:rPr>
        <w:t>45-106</w:t>
      </w:r>
      <w:r w:rsidR="0066739D">
        <w:rPr>
          <w:b/>
          <w:spacing w:val="-9"/>
          <w:sz w:val="20"/>
        </w:rPr>
        <w:t xml:space="preserve"> </w:t>
      </w:r>
      <w:r w:rsidR="006B578A">
        <w:rPr>
          <w:b/>
          <w:spacing w:val="-9"/>
          <w:sz w:val="20"/>
        </w:rPr>
        <w:t xml:space="preserve">– </w:t>
      </w:r>
      <w:r w:rsidR="0066739D">
        <w:rPr>
          <w:rFonts w:ascii="Arial-BoldItalicMT"/>
          <w:b/>
          <w:i/>
          <w:sz w:val="20"/>
        </w:rPr>
        <w:t>Prospectus</w:t>
      </w:r>
      <w:r w:rsidR="0066739D">
        <w:rPr>
          <w:rFonts w:ascii="Arial-BoldItalicMT"/>
          <w:b/>
          <w:i/>
          <w:spacing w:val="-8"/>
          <w:sz w:val="20"/>
        </w:rPr>
        <w:t xml:space="preserve"> </w:t>
      </w:r>
      <w:r w:rsidR="0066739D">
        <w:rPr>
          <w:rFonts w:ascii="Arial-BoldItalicMT"/>
          <w:b/>
          <w:i/>
          <w:sz w:val="20"/>
        </w:rPr>
        <w:t>Exemptions</w:t>
      </w:r>
      <w:r w:rsidR="0066739D">
        <w:rPr>
          <w:b/>
          <w:sz w:val="20"/>
        </w:rPr>
        <w:t>.</w:t>
      </w:r>
      <w:r w:rsidR="0066739D">
        <w:rPr>
          <w:b/>
          <w:spacing w:val="38"/>
          <w:sz w:val="20"/>
        </w:rPr>
        <w:t xml:space="preserve"> </w:t>
      </w:r>
      <w:r w:rsidR="0066739D">
        <w:rPr>
          <w:b/>
          <w:sz w:val="20"/>
        </w:rPr>
        <w:t>In</w:t>
      </w:r>
      <w:r w:rsidR="0066739D">
        <w:rPr>
          <w:b/>
          <w:spacing w:val="-9"/>
          <w:sz w:val="20"/>
        </w:rPr>
        <w:t xml:space="preserve"> </w:t>
      </w:r>
      <w:r w:rsidR="0066739D">
        <w:rPr>
          <w:b/>
          <w:sz w:val="20"/>
        </w:rPr>
        <w:t>connection</w:t>
      </w:r>
      <w:r w:rsidR="0066739D">
        <w:rPr>
          <w:b/>
          <w:spacing w:val="-9"/>
          <w:sz w:val="20"/>
        </w:rPr>
        <w:t xml:space="preserve"> </w:t>
      </w:r>
      <w:r w:rsidR="0066739D">
        <w:rPr>
          <w:b/>
          <w:sz w:val="20"/>
        </w:rPr>
        <w:t>with</w:t>
      </w:r>
      <w:r w:rsidR="0066739D">
        <w:rPr>
          <w:b/>
          <w:spacing w:val="-8"/>
          <w:sz w:val="20"/>
        </w:rPr>
        <w:t xml:space="preserve"> </w:t>
      </w:r>
      <w:r w:rsidR="0066739D">
        <w:rPr>
          <w:b/>
          <w:sz w:val="20"/>
        </w:rPr>
        <w:t>this</w:t>
      </w:r>
      <w:r w:rsidR="0066739D">
        <w:rPr>
          <w:b/>
          <w:spacing w:val="-7"/>
          <w:sz w:val="20"/>
        </w:rPr>
        <w:t xml:space="preserve"> </w:t>
      </w:r>
      <w:r w:rsidR="004604DC">
        <w:rPr>
          <w:b/>
          <w:sz w:val="20"/>
        </w:rPr>
        <w:t>O</w:t>
      </w:r>
      <w:r w:rsidR="0066739D">
        <w:rPr>
          <w:b/>
          <w:sz w:val="20"/>
        </w:rPr>
        <w:t>ffering,</w:t>
      </w:r>
      <w:r w:rsidR="0066739D">
        <w:rPr>
          <w:b/>
          <w:spacing w:val="-10"/>
          <w:sz w:val="20"/>
        </w:rPr>
        <w:t xml:space="preserve"> </w:t>
      </w:r>
      <w:r w:rsidR="0066739D">
        <w:rPr>
          <w:b/>
          <w:sz w:val="20"/>
        </w:rPr>
        <w:t>the</w:t>
      </w:r>
      <w:r w:rsidR="0066739D">
        <w:rPr>
          <w:b/>
          <w:spacing w:val="-11"/>
          <w:sz w:val="20"/>
        </w:rPr>
        <w:t xml:space="preserve"> </w:t>
      </w:r>
      <w:r w:rsidR="0066739D">
        <w:rPr>
          <w:b/>
          <w:sz w:val="20"/>
        </w:rPr>
        <w:t>issuer represents the following is true:</w:t>
      </w:r>
    </w:p>
    <w:p w:rsidR="004D7A2D" w:rsidP="00106D56" w14:paraId="75951D77" w14:textId="77777777">
      <w:pPr>
        <w:pStyle w:val="BodyText"/>
        <w:tabs>
          <w:tab w:val="left" w:pos="9540"/>
        </w:tabs>
        <w:spacing w:before="10"/>
        <w:rPr>
          <w:b/>
          <w:sz w:val="23"/>
        </w:rPr>
      </w:pPr>
    </w:p>
    <w:p w:rsidR="004D7A2D" w:rsidP="00106D56" w14:paraId="74985FEE" w14:textId="77777777">
      <w:pPr>
        <w:pStyle w:val="ListParagraph"/>
        <w:numPr>
          <w:ilvl w:val="0"/>
          <w:numId w:val="2"/>
        </w:numPr>
        <w:tabs>
          <w:tab w:val="left" w:pos="900"/>
          <w:tab w:val="left" w:pos="901"/>
          <w:tab w:val="left" w:pos="9540"/>
        </w:tabs>
        <w:ind w:left="360"/>
        <w:jc w:val="both"/>
        <w:rPr>
          <w:b/>
          <w:sz w:val="20"/>
        </w:rPr>
      </w:pPr>
      <w:r>
        <w:rPr>
          <w:b/>
          <w:sz w:val="20"/>
        </w:rPr>
        <w:t>The</w:t>
      </w:r>
      <w:r>
        <w:rPr>
          <w:b/>
          <w:spacing w:val="-7"/>
          <w:sz w:val="20"/>
        </w:rPr>
        <w:t xml:space="preserve"> </w:t>
      </w:r>
      <w:r>
        <w:rPr>
          <w:b/>
          <w:sz w:val="20"/>
        </w:rPr>
        <w:t>issuer</w:t>
      </w:r>
      <w:r>
        <w:rPr>
          <w:b/>
          <w:spacing w:val="-7"/>
          <w:sz w:val="20"/>
        </w:rPr>
        <w:t xml:space="preserve"> </w:t>
      </w:r>
      <w:r>
        <w:rPr>
          <w:b/>
          <w:sz w:val="20"/>
        </w:rPr>
        <w:t>has</w:t>
      </w:r>
      <w:r>
        <w:rPr>
          <w:b/>
          <w:spacing w:val="-5"/>
          <w:sz w:val="20"/>
        </w:rPr>
        <w:t xml:space="preserve"> </w:t>
      </w:r>
      <w:r>
        <w:rPr>
          <w:b/>
          <w:sz w:val="20"/>
        </w:rPr>
        <w:t>active</w:t>
      </w:r>
      <w:r>
        <w:rPr>
          <w:b/>
          <w:spacing w:val="-6"/>
          <w:sz w:val="20"/>
        </w:rPr>
        <w:t xml:space="preserve"> </w:t>
      </w:r>
      <w:r>
        <w:rPr>
          <w:b/>
          <w:sz w:val="20"/>
        </w:rPr>
        <w:t>operations,</w:t>
      </w:r>
      <w:r>
        <w:rPr>
          <w:b/>
          <w:spacing w:val="-4"/>
          <w:sz w:val="20"/>
        </w:rPr>
        <w:t xml:space="preserve"> </w:t>
      </w:r>
      <w:r>
        <w:rPr>
          <w:b/>
          <w:sz w:val="20"/>
        </w:rPr>
        <w:t>and</w:t>
      </w:r>
      <w:r>
        <w:rPr>
          <w:b/>
          <w:spacing w:val="-8"/>
          <w:sz w:val="20"/>
        </w:rPr>
        <w:t xml:space="preserve"> </w:t>
      </w:r>
      <w:r>
        <w:rPr>
          <w:b/>
          <w:sz w:val="20"/>
        </w:rPr>
        <w:t>its</w:t>
      </w:r>
      <w:r>
        <w:rPr>
          <w:b/>
          <w:spacing w:val="-6"/>
          <w:sz w:val="20"/>
        </w:rPr>
        <w:t xml:space="preserve"> </w:t>
      </w:r>
      <w:r>
        <w:rPr>
          <w:b/>
          <w:sz w:val="20"/>
        </w:rPr>
        <w:t>principal</w:t>
      </w:r>
      <w:r>
        <w:rPr>
          <w:b/>
          <w:spacing w:val="-2"/>
          <w:sz w:val="20"/>
        </w:rPr>
        <w:t xml:space="preserve"> </w:t>
      </w:r>
      <w:r>
        <w:rPr>
          <w:b/>
          <w:sz w:val="20"/>
        </w:rPr>
        <w:t>asset</w:t>
      </w:r>
      <w:r>
        <w:rPr>
          <w:b/>
          <w:spacing w:val="-6"/>
          <w:sz w:val="20"/>
        </w:rPr>
        <w:t xml:space="preserve"> </w:t>
      </w:r>
      <w:r>
        <w:rPr>
          <w:b/>
          <w:sz w:val="20"/>
        </w:rPr>
        <w:t>is</w:t>
      </w:r>
      <w:r>
        <w:rPr>
          <w:b/>
          <w:spacing w:val="-7"/>
          <w:sz w:val="20"/>
        </w:rPr>
        <w:t xml:space="preserve"> </w:t>
      </w:r>
      <w:r>
        <w:rPr>
          <w:b/>
          <w:sz w:val="20"/>
        </w:rPr>
        <w:t>not</w:t>
      </w:r>
      <w:r>
        <w:rPr>
          <w:b/>
          <w:spacing w:val="-4"/>
          <w:sz w:val="20"/>
        </w:rPr>
        <w:t xml:space="preserve"> </w:t>
      </w:r>
      <w:r>
        <w:rPr>
          <w:b/>
          <w:sz w:val="20"/>
        </w:rPr>
        <w:t>cash,</w:t>
      </w:r>
      <w:r>
        <w:rPr>
          <w:b/>
          <w:spacing w:val="-4"/>
          <w:sz w:val="20"/>
        </w:rPr>
        <w:t xml:space="preserve"> </w:t>
      </w:r>
      <w:r>
        <w:rPr>
          <w:b/>
          <w:sz w:val="20"/>
        </w:rPr>
        <w:t>cash</w:t>
      </w:r>
      <w:r>
        <w:rPr>
          <w:b/>
          <w:spacing w:val="-6"/>
          <w:sz w:val="20"/>
        </w:rPr>
        <w:t xml:space="preserve"> </w:t>
      </w:r>
      <w:r>
        <w:rPr>
          <w:b/>
          <w:sz w:val="20"/>
        </w:rPr>
        <w:t>equivalents</w:t>
      </w:r>
      <w:r>
        <w:rPr>
          <w:b/>
          <w:spacing w:val="-4"/>
          <w:sz w:val="20"/>
        </w:rPr>
        <w:t xml:space="preserve"> </w:t>
      </w:r>
      <w:r>
        <w:rPr>
          <w:b/>
          <w:sz w:val="20"/>
        </w:rPr>
        <w:t>or its exchange listing.</w:t>
      </w:r>
    </w:p>
    <w:p w:rsidR="004D7A2D" w:rsidP="00106D56" w14:paraId="14A5177D" w14:textId="77777777">
      <w:pPr>
        <w:pStyle w:val="BodyText"/>
        <w:tabs>
          <w:tab w:val="left" w:pos="9540"/>
        </w:tabs>
        <w:ind w:left="360"/>
        <w:jc w:val="both"/>
        <w:rPr>
          <w:b/>
          <w:sz w:val="22"/>
        </w:rPr>
      </w:pPr>
    </w:p>
    <w:p w:rsidR="004D7A2D" w:rsidP="00106D56" w14:paraId="1C82CACA" w14:textId="77777777">
      <w:pPr>
        <w:pStyle w:val="ListParagraph"/>
        <w:numPr>
          <w:ilvl w:val="0"/>
          <w:numId w:val="2"/>
        </w:numPr>
        <w:tabs>
          <w:tab w:val="left" w:pos="900"/>
          <w:tab w:val="left" w:pos="901"/>
          <w:tab w:val="left" w:pos="9540"/>
        </w:tabs>
        <w:ind w:left="360"/>
        <w:jc w:val="both"/>
        <w:rPr>
          <w:b/>
          <w:sz w:val="20"/>
        </w:rPr>
      </w:pPr>
      <w:r>
        <w:rPr>
          <w:b/>
          <w:sz w:val="20"/>
        </w:rPr>
        <w:t>The</w:t>
      </w:r>
      <w:r>
        <w:rPr>
          <w:b/>
          <w:spacing w:val="-7"/>
          <w:sz w:val="20"/>
        </w:rPr>
        <w:t xml:space="preserve"> </w:t>
      </w:r>
      <w:r>
        <w:rPr>
          <w:b/>
          <w:sz w:val="20"/>
        </w:rPr>
        <w:t>issuer</w:t>
      </w:r>
      <w:r>
        <w:rPr>
          <w:b/>
          <w:spacing w:val="-7"/>
          <w:sz w:val="20"/>
        </w:rPr>
        <w:t xml:space="preserve"> </w:t>
      </w:r>
      <w:r>
        <w:rPr>
          <w:b/>
          <w:sz w:val="20"/>
        </w:rPr>
        <w:t>has</w:t>
      </w:r>
      <w:r>
        <w:rPr>
          <w:b/>
          <w:spacing w:val="-7"/>
          <w:sz w:val="20"/>
        </w:rPr>
        <w:t xml:space="preserve"> </w:t>
      </w:r>
      <w:r>
        <w:rPr>
          <w:b/>
          <w:sz w:val="20"/>
        </w:rPr>
        <w:t>filed</w:t>
      </w:r>
      <w:r>
        <w:rPr>
          <w:b/>
          <w:spacing w:val="-5"/>
          <w:sz w:val="20"/>
        </w:rPr>
        <w:t xml:space="preserve"> </w:t>
      </w:r>
      <w:r>
        <w:rPr>
          <w:b/>
          <w:sz w:val="20"/>
        </w:rPr>
        <w:t>all</w:t>
      </w:r>
      <w:r>
        <w:rPr>
          <w:b/>
          <w:spacing w:val="-4"/>
          <w:sz w:val="20"/>
        </w:rPr>
        <w:t xml:space="preserve"> </w:t>
      </w:r>
      <w:r>
        <w:rPr>
          <w:b/>
          <w:sz w:val="20"/>
        </w:rPr>
        <w:t>periodic</w:t>
      </w:r>
      <w:r>
        <w:rPr>
          <w:b/>
          <w:spacing w:val="-6"/>
          <w:sz w:val="20"/>
        </w:rPr>
        <w:t xml:space="preserve"> </w:t>
      </w:r>
      <w:r>
        <w:rPr>
          <w:b/>
          <w:sz w:val="20"/>
        </w:rPr>
        <w:t>and</w:t>
      </w:r>
      <w:r>
        <w:rPr>
          <w:b/>
          <w:spacing w:val="-8"/>
          <w:sz w:val="20"/>
        </w:rPr>
        <w:t xml:space="preserve"> </w:t>
      </w:r>
      <w:r>
        <w:rPr>
          <w:b/>
          <w:sz w:val="20"/>
        </w:rPr>
        <w:t>timely</w:t>
      </w:r>
      <w:r>
        <w:rPr>
          <w:b/>
          <w:spacing w:val="-7"/>
          <w:sz w:val="20"/>
        </w:rPr>
        <w:t xml:space="preserve"> </w:t>
      </w:r>
      <w:r>
        <w:rPr>
          <w:b/>
          <w:sz w:val="20"/>
        </w:rPr>
        <w:t>disclosure</w:t>
      </w:r>
      <w:r>
        <w:rPr>
          <w:b/>
          <w:spacing w:val="-6"/>
          <w:sz w:val="20"/>
        </w:rPr>
        <w:t xml:space="preserve"> </w:t>
      </w:r>
      <w:r>
        <w:rPr>
          <w:b/>
          <w:sz w:val="20"/>
        </w:rPr>
        <w:t>documents</w:t>
      </w:r>
      <w:r>
        <w:rPr>
          <w:b/>
          <w:spacing w:val="-5"/>
          <w:sz w:val="20"/>
        </w:rPr>
        <w:t xml:space="preserve"> </w:t>
      </w:r>
      <w:r>
        <w:rPr>
          <w:b/>
          <w:sz w:val="20"/>
        </w:rPr>
        <w:t>that</w:t>
      </w:r>
      <w:r>
        <w:rPr>
          <w:b/>
          <w:spacing w:val="-8"/>
          <w:sz w:val="20"/>
        </w:rPr>
        <w:t xml:space="preserve"> </w:t>
      </w:r>
      <w:r>
        <w:rPr>
          <w:b/>
          <w:sz w:val="20"/>
        </w:rPr>
        <w:t>it</w:t>
      </w:r>
      <w:r>
        <w:rPr>
          <w:b/>
          <w:spacing w:val="-8"/>
          <w:sz w:val="20"/>
        </w:rPr>
        <w:t xml:space="preserve"> </w:t>
      </w:r>
      <w:r>
        <w:rPr>
          <w:b/>
          <w:sz w:val="20"/>
        </w:rPr>
        <w:t>is</w:t>
      </w:r>
      <w:r>
        <w:rPr>
          <w:b/>
          <w:spacing w:val="-7"/>
          <w:sz w:val="20"/>
        </w:rPr>
        <w:t xml:space="preserve"> </w:t>
      </w:r>
      <w:r>
        <w:rPr>
          <w:b/>
          <w:sz w:val="20"/>
        </w:rPr>
        <w:t>required</w:t>
      </w:r>
      <w:r>
        <w:rPr>
          <w:b/>
          <w:spacing w:val="-9"/>
          <w:sz w:val="20"/>
        </w:rPr>
        <w:t xml:space="preserve"> </w:t>
      </w:r>
      <w:r>
        <w:rPr>
          <w:b/>
          <w:sz w:val="20"/>
        </w:rPr>
        <w:t>to</w:t>
      </w:r>
      <w:r>
        <w:rPr>
          <w:b/>
          <w:spacing w:val="-6"/>
          <w:sz w:val="20"/>
        </w:rPr>
        <w:t xml:space="preserve"> </w:t>
      </w:r>
      <w:r>
        <w:rPr>
          <w:b/>
          <w:sz w:val="20"/>
        </w:rPr>
        <w:t xml:space="preserve">have </w:t>
      </w:r>
      <w:r>
        <w:rPr>
          <w:b/>
          <w:spacing w:val="-2"/>
          <w:sz w:val="20"/>
        </w:rPr>
        <w:t>filed.</w:t>
      </w:r>
    </w:p>
    <w:p w:rsidR="004D7A2D" w:rsidP="00106D56" w14:paraId="60AA5995" w14:textId="77777777">
      <w:pPr>
        <w:pStyle w:val="BodyText"/>
        <w:tabs>
          <w:tab w:val="left" w:pos="9540"/>
        </w:tabs>
        <w:spacing w:before="2"/>
        <w:ind w:left="360"/>
        <w:jc w:val="both"/>
        <w:rPr>
          <w:b/>
          <w:sz w:val="22"/>
        </w:rPr>
      </w:pPr>
    </w:p>
    <w:p w:rsidR="004D7A2D" w:rsidP="00106D56" w14:paraId="023B9DCC" w14:textId="330915B1">
      <w:pPr>
        <w:pStyle w:val="ListParagraph"/>
        <w:numPr>
          <w:ilvl w:val="0"/>
          <w:numId w:val="2"/>
        </w:numPr>
        <w:tabs>
          <w:tab w:val="left" w:pos="901"/>
          <w:tab w:val="left" w:pos="9540"/>
        </w:tabs>
        <w:ind w:left="360"/>
        <w:jc w:val="both"/>
        <w:rPr>
          <w:b/>
          <w:sz w:val="20"/>
        </w:rPr>
      </w:pPr>
      <w:r>
        <w:rPr>
          <w:b/>
          <w:sz w:val="20"/>
        </w:rPr>
        <w:t>The</w:t>
      </w:r>
      <w:r>
        <w:rPr>
          <w:b/>
          <w:spacing w:val="-4"/>
          <w:sz w:val="20"/>
        </w:rPr>
        <w:t xml:space="preserve"> </w:t>
      </w:r>
      <w:r>
        <w:rPr>
          <w:b/>
          <w:sz w:val="20"/>
        </w:rPr>
        <w:t>total</w:t>
      </w:r>
      <w:r>
        <w:rPr>
          <w:b/>
          <w:spacing w:val="-5"/>
          <w:sz w:val="20"/>
        </w:rPr>
        <w:t xml:space="preserve"> </w:t>
      </w:r>
      <w:r>
        <w:rPr>
          <w:b/>
          <w:sz w:val="20"/>
        </w:rPr>
        <w:t>dollar</w:t>
      </w:r>
      <w:r>
        <w:rPr>
          <w:b/>
          <w:spacing w:val="-2"/>
          <w:sz w:val="20"/>
        </w:rPr>
        <w:t xml:space="preserve"> </w:t>
      </w:r>
      <w:r>
        <w:rPr>
          <w:b/>
          <w:sz w:val="20"/>
        </w:rPr>
        <w:t>amount</w:t>
      </w:r>
      <w:r>
        <w:rPr>
          <w:b/>
          <w:spacing w:val="-3"/>
          <w:sz w:val="20"/>
        </w:rPr>
        <w:t xml:space="preserve"> </w:t>
      </w:r>
      <w:r>
        <w:rPr>
          <w:b/>
          <w:sz w:val="20"/>
        </w:rPr>
        <w:t>of</w:t>
      </w:r>
      <w:r>
        <w:rPr>
          <w:b/>
          <w:spacing w:val="-2"/>
          <w:sz w:val="20"/>
        </w:rPr>
        <w:t xml:space="preserve"> </w:t>
      </w:r>
      <w:r>
        <w:rPr>
          <w:b/>
          <w:sz w:val="20"/>
        </w:rPr>
        <w:t>this</w:t>
      </w:r>
      <w:r>
        <w:rPr>
          <w:b/>
          <w:spacing w:val="-4"/>
          <w:sz w:val="20"/>
        </w:rPr>
        <w:t xml:space="preserve"> </w:t>
      </w:r>
      <w:r>
        <w:rPr>
          <w:b/>
          <w:sz w:val="20"/>
        </w:rPr>
        <w:t>offering,</w:t>
      </w:r>
      <w:r>
        <w:rPr>
          <w:b/>
          <w:spacing w:val="-4"/>
          <w:sz w:val="20"/>
        </w:rPr>
        <w:t xml:space="preserve"> </w:t>
      </w:r>
      <w:r>
        <w:rPr>
          <w:b/>
          <w:sz w:val="20"/>
        </w:rPr>
        <w:t>in</w:t>
      </w:r>
      <w:r>
        <w:rPr>
          <w:b/>
          <w:spacing w:val="-1"/>
          <w:sz w:val="20"/>
        </w:rPr>
        <w:t xml:space="preserve"> </w:t>
      </w:r>
      <w:r>
        <w:rPr>
          <w:b/>
          <w:sz w:val="20"/>
        </w:rPr>
        <w:t>combination</w:t>
      </w:r>
      <w:r>
        <w:rPr>
          <w:b/>
          <w:spacing w:val="-3"/>
          <w:sz w:val="20"/>
        </w:rPr>
        <w:t xml:space="preserve"> </w:t>
      </w:r>
      <w:r>
        <w:rPr>
          <w:b/>
          <w:sz w:val="20"/>
        </w:rPr>
        <w:t>with</w:t>
      </w:r>
      <w:r>
        <w:rPr>
          <w:b/>
          <w:spacing w:val="-3"/>
          <w:sz w:val="20"/>
        </w:rPr>
        <w:t xml:space="preserve"> </w:t>
      </w:r>
      <w:r>
        <w:rPr>
          <w:b/>
          <w:sz w:val="20"/>
        </w:rPr>
        <w:t>the</w:t>
      </w:r>
      <w:r>
        <w:rPr>
          <w:b/>
          <w:spacing w:val="-4"/>
          <w:sz w:val="20"/>
        </w:rPr>
        <w:t xml:space="preserve"> </w:t>
      </w:r>
      <w:r>
        <w:rPr>
          <w:b/>
          <w:sz w:val="20"/>
        </w:rPr>
        <w:t>dollar</w:t>
      </w:r>
      <w:r>
        <w:rPr>
          <w:b/>
          <w:spacing w:val="-4"/>
          <w:sz w:val="20"/>
        </w:rPr>
        <w:t xml:space="preserve"> </w:t>
      </w:r>
      <w:r>
        <w:rPr>
          <w:b/>
          <w:sz w:val="20"/>
        </w:rPr>
        <w:t>amount</w:t>
      </w:r>
      <w:r>
        <w:rPr>
          <w:b/>
          <w:spacing w:val="-3"/>
          <w:sz w:val="20"/>
        </w:rPr>
        <w:t xml:space="preserve"> </w:t>
      </w:r>
      <w:r>
        <w:rPr>
          <w:b/>
          <w:sz w:val="20"/>
        </w:rPr>
        <w:t>of</w:t>
      </w:r>
      <w:r>
        <w:rPr>
          <w:b/>
          <w:spacing w:val="-2"/>
          <w:sz w:val="20"/>
        </w:rPr>
        <w:t xml:space="preserve"> </w:t>
      </w:r>
      <w:r>
        <w:rPr>
          <w:b/>
          <w:sz w:val="20"/>
        </w:rPr>
        <w:t>all</w:t>
      </w:r>
      <w:r>
        <w:rPr>
          <w:b/>
          <w:spacing w:val="-4"/>
          <w:sz w:val="20"/>
        </w:rPr>
        <w:t xml:space="preserve"> </w:t>
      </w:r>
      <w:r>
        <w:rPr>
          <w:b/>
          <w:sz w:val="20"/>
        </w:rPr>
        <w:t>other offerings</w:t>
      </w:r>
      <w:r>
        <w:rPr>
          <w:b/>
          <w:spacing w:val="-5"/>
          <w:sz w:val="20"/>
        </w:rPr>
        <w:t xml:space="preserve"> </w:t>
      </w:r>
      <w:r>
        <w:rPr>
          <w:b/>
          <w:sz w:val="20"/>
        </w:rPr>
        <w:t>made</w:t>
      </w:r>
      <w:r>
        <w:rPr>
          <w:b/>
          <w:spacing w:val="-3"/>
          <w:sz w:val="20"/>
        </w:rPr>
        <w:t xml:space="preserve"> </w:t>
      </w:r>
      <w:r>
        <w:rPr>
          <w:b/>
          <w:sz w:val="20"/>
        </w:rPr>
        <w:t>under</w:t>
      </w:r>
      <w:r>
        <w:rPr>
          <w:b/>
          <w:spacing w:val="-6"/>
          <w:sz w:val="20"/>
        </w:rPr>
        <w:t xml:space="preserve"> </w:t>
      </w:r>
      <w:r>
        <w:rPr>
          <w:b/>
          <w:sz w:val="20"/>
        </w:rPr>
        <w:t>the listed</w:t>
      </w:r>
      <w:r>
        <w:rPr>
          <w:b/>
          <w:spacing w:val="-7"/>
          <w:sz w:val="20"/>
        </w:rPr>
        <w:t xml:space="preserve"> </w:t>
      </w:r>
      <w:r>
        <w:rPr>
          <w:b/>
          <w:sz w:val="20"/>
        </w:rPr>
        <w:t>issuer</w:t>
      </w:r>
      <w:r>
        <w:rPr>
          <w:b/>
          <w:spacing w:val="-8"/>
          <w:sz w:val="20"/>
        </w:rPr>
        <w:t xml:space="preserve"> </w:t>
      </w:r>
      <w:r>
        <w:rPr>
          <w:b/>
          <w:sz w:val="20"/>
        </w:rPr>
        <w:t>financing</w:t>
      </w:r>
      <w:r>
        <w:rPr>
          <w:b/>
          <w:spacing w:val="-5"/>
          <w:sz w:val="20"/>
        </w:rPr>
        <w:t xml:space="preserve"> </w:t>
      </w:r>
      <w:r>
        <w:rPr>
          <w:b/>
          <w:sz w:val="20"/>
        </w:rPr>
        <w:t>exemption</w:t>
      </w:r>
      <w:r>
        <w:rPr>
          <w:b/>
          <w:spacing w:val="-2"/>
          <w:sz w:val="20"/>
        </w:rPr>
        <w:t xml:space="preserve"> </w:t>
      </w:r>
      <w:r>
        <w:rPr>
          <w:b/>
          <w:sz w:val="20"/>
        </w:rPr>
        <w:t>in</w:t>
      </w:r>
      <w:r>
        <w:rPr>
          <w:b/>
          <w:spacing w:val="-7"/>
          <w:sz w:val="20"/>
        </w:rPr>
        <w:t xml:space="preserve"> </w:t>
      </w:r>
      <w:r>
        <w:rPr>
          <w:b/>
          <w:sz w:val="20"/>
        </w:rPr>
        <w:t>the</w:t>
      </w:r>
      <w:r>
        <w:rPr>
          <w:b/>
          <w:spacing w:val="-8"/>
          <w:sz w:val="20"/>
        </w:rPr>
        <w:t xml:space="preserve"> </w:t>
      </w:r>
      <w:r>
        <w:rPr>
          <w:b/>
          <w:sz w:val="20"/>
        </w:rPr>
        <w:t>12</w:t>
      </w:r>
      <w:r>
        <w:rPr>
          <w:b/>
          <w:spacing w:val="-5"/>
          <w:sz w:val="20"/>
        </w:rPr>
        <w:t xml:space="preserve"> </w:t>
      </w:r>
      <w:r>
        <w:rPr>
          <w:b/>
          <w:sz w:val="20"/>
        </w:rPr>
        <w:t>months</w:t>
      </w:r>
      <w:r>
        <w:rPr>
          <w:b/>
          <w:spacing w:val="-4"/>
          <w:sz w:val="20"/>
        </w:rPr>
        <w:t xml:space="preserve"> </w:t>
      </w:r>
      <w:r>
        <w:rPr>
          <w:b/>
          <w:sz w:val="20"/>
        </w:rPr>
        <w:t xml:space="preserve">immediately before the date of this Offering Document, will not exceed </w:t>
      </w:r>
      <w:r w:rsidRPr="00FA47FF" w:rsidR="00FA47FF">
        <w:rPr>
          <w:b/>
          <w:sz w:val="20"/>
        </w:rPr>
        <w:t>$</w:t>
      </w:r>
      <w:r w:rsidR="00A11AF5">
        <w:rPr>
          <w:b/>
          <w:sz w:val="20"/>
        </w:rPr>
        <w:t>5,000,000</w:t>
      </w:r>
      <w:r>
        <w:rPr>
          <w:b/>
          <w:sz w:val="20"/>
        </w:rPr>
        <w:t>.</w:t>
      </w:r>
    </w:p>
    <w:p w:rsidR="004D7A2D" w:rsidP="00106D56" w14:paraId="44214778" w14:textId="77777777">
      <w:pPr>
        <w:pStyle w:val="BodyText"/>
        <w:tabs>
          <w:tab w:val="left" w:pos="9540"/>
        </w:tabs>
        <w:ind w:left="360"/>
        <w:jc w:val="both"/>
        <w:rPr>
          <w:b/>
          <w:sz w:val="22"/>
        </w:rPr>
      </w:pPr>
    </w:p>
    <w:p w:rsidR="004D7A2D" w:rsidP="00106D56" w14:paraId="4BBF8E74" w14:textId="35F11FA2">
      <w:pPr>
        <w:pStyle w:val="ListParagraph"/>
        <w:numPr>
          <w:ilvl w:val="0"/>
          <w:numId w:val="2"/>
        </w:numPr>
        <w:tabs>
          <w:tab w:val="left" w:pos="901"/>
          <w:tab w:val="left" w:pos="9540"/>
        </w:tabs>
        <w:spacing w:before="1"/>
        <w:ind w:left="360"/>
        <w:jc w:val="both"/>
        <w:rPr>
          <w:b/>
          <w:sz w:val="20"/>
        </w:rPr>
      </w:pPr>
      <w:r>
        <w:rPr>
          <w:b/>
          <w:sz w:val="20"/>
        </w:rPr>
        <w:t>The</w:t>
      </w:r>
      <w:r>
        <w:rPr>
          <w:b/>
          <w:spacing w:val="-1"/>
          <w:sz w:val="20"/>
        </w:rPr>
        <w:t xml:space="preserve"> </w:t>
      </w:r>
      <w:r>
        <w:rPr>
          <w:b/>
          <w:sz w:val="20"/>
        </w:rPr>
        <w:t>issuer</w:t>
      </w:r>
      <w:r>
        <w:rPr>
          <w:b/>
          <w:spacing w:val="-1"/>
          <w:sz w:val="20"/>
        </w:rPr>
        <w:t xml:space="preserve"> </w:t>
      </w:r>
      <w:r>
        <w:rPr>
          <w:b/>
          <w:sz w:val="20"/>
        </w:rPr>
        <w:t>will</w:t>
      </w:r>
      <w:r>
        <w:rPr>
          <w:b/>
          <w:spacing w:val="-1"/>
          <w:sz w:val="20"/>
        </w:rPr>
        <w:t xml:space="preserve"> </w:t>
      </w:r>
      <w:r>
        <w:rPr>
          <w:b/>
          <w:sz w:val="20"/>
        </w:rPr>
        <w:t>not close</w:t>
      </w:r>
      <w:r>
        <w:rPr>
          <w:b/>
          <w:spacing w:val="-2"/>
          <w:sz w:val="20"/>
        </w:rPr>
        <w:t xml:space="preserve"> </w:t>
      </w:r>
      <w:r>
        <w:rPr>
          <w:b/>
          <w:sz w:val="20"/>
        </w:rPr>
        <w:t>this</w:t>
      </w:r>
      <w:r>
        <w:rPr>
          <w:b/>
          <w:spacing w:val="-1"/>
          <w:sz w:val="20"/>
        </w:rPr>
        <w:t xml:space="preserve"> </w:t>
      </w:r>
      <w:r w:rsidR="004604DC">
        <w:rPr>
          <w:b/>
          <w:sz w:val="20"/>
        </w:rPr>
        <w:t>O</w:t>
      </w:r>
      <w:r>
        <w:rPr>
          <w:b/>
          <w:sz w:val="20"/>
        </w:rPr>
        <w:t>ffering unless</w:t>
      </w:r>
      <w:r>
        <w:rPr>
          <w:b/>
          <w:spacing w:val="-2"/>
          <w:sz w:val="20"/>
        </w:rPr>
        <w:t xml:space="preserve"> </w:t>
      </w:r>
      <w:r>
        <w:rPr>
          <w:b/>
          <w:sz w:val="20"/>
        </w:rPr>
        <w:t>the</w:t>
      </w:r>
      <w:r>
        <w:rPr>
          <w:b/>
          <w:spacing w:val="-1"/>
          <w:sz w:val="20"/>
        </w:rPr>
        <w:t xml:space="preserve"> </w:t>
      </w:r>
      <w:r>
        <w:rPr>
          <w:b/>
          <w:sz w:val="20"/>
        </w:rPr>
        <w:t>issuer reasonably</w:t>
      </w:r>
      <w:r>
        <w:rPr>
          <w:b/>
          <w:spacing w:val="-1"/>
          <w:sz w:val="20"/>
        </w:rPr>
        <w:t xml:space="preserve"> </w:t>
      </w:r>
      <w:r>
        <w:rPr>
          <w:b/>
          <w:sz w:val="20"/>
        </w:rPr>
        <w:t>believes it has</w:t>
      </w:r>
      <w:r>
        <w:rPr>
          <w:b/>
          <w:spacing w:val="-1"/>
          <w:sz w:val="20"/>
        </w:rPr>
        <w:t xml:space="preserve"> </w:t>
      </w:r>
      <w:r>
        <w:rPr>
          <w:b/>
          <w:sz w:val="20"/>
        </w:rPr>
        <w:t>raised sufficient</w:t>
      </w:r>
      <w:r>
        <w:rPr>
          <w:b/>
          <w:spacing w:val="-3"/>
          <w:sz w:val="20"/>
        </w:rPr>
        <w:t xml:space="preserve"> </w:t>
      </w:r>
      <w:r>
        <w:rPr>
          <w:b/>
          <w:sz w:val="20"/>
        </w:rPr>
        <w:t>funds</w:t>
      </w:r>
      <w:r>
        <w:rPr>
          <w:b/>
          <w:spacing w:val="-5"/>
          <w:sz w:val="20"/>
        </w:rPr>
        <w:t xml:space="preserve"> </w:t>
      </w:r>
      <w:r>
        <w:rPr>
          <w:b/>
          <w:sz w:val="20"/>
        </w:rPr>
        <w:t>to</w:t>
      </w:r>
      <w:r>
        <w:rPr>
          <w:b/>
          <w:spacing w:val="-6"/>
          <w:sz w:val="20"/>
        </w:rPr>
        <w:t xml:space="preserve"> </w:t>
      </w:r>
      <w:r>
        <w:rPr>
          <w:b/>
          <w:sz w:val="20"/>
        </w:rPr>
        <w:t>meet</w:t>
      </w:r>
      <w:r>
        <w:rPr>
          <w:b/>
          <w:spacing w:val="-7"/>
          <w:sz w:val="20"/>
        </w:rPr>
        <w:t xml:space="preserve"> </w:t>
      </w:r>
      <w:r>
        <w:rPr>
          <w:b/>
          <w:sz w:val="20"/>
        </w:rPr>
        <w:t>its</w:t>
      </w:r>
      <w:r>
        <w:rPr>
          <w:b/>
          <w:spacing w:val="-7"/>
          <w:sz w:val="20"/>
        </w:rPr>
        <w:t xml:space="preserve"> </w:t>
      </w:r>
      <w:r>
        <w:rPr>
          <w:b/>
          <w:sz w:val="20"/>
        </w:rPr>
        <w:t>business</w:t>
      </w:r>
      <w:r>
        <w:rPr>
          <w:b/>
          <w:spacing w:val="-8"/>
          <w:sz w:val="20"/>
        </w:rPr>
        <w:t xml:space="preserve"> </w:t>
      </w:r>
      <w:r>
        <w:rPr>
          <w:b/>
          <w:sz w:val="20"/>
        </w:rPr>
        <w:t>objectives</w:t>
      </w:r>
      <w:r>
        <w:rPr>
          <w:b/>
          <w:spacing w:val="-3"/>
          <w:sz w:val="20"/>
        </w:rPr>
        <w:t xml:space="preserve"> </w:t>
      </w:r>
      <w:r>
        <w:rPr>
          <w:b/>
          <w:sz w:val="20"/>
        </w:rPr>
        <w:t>and</w:t>
      </w:r>
      <w:r>
        <w:rPr>
          <w:b/>
          <w:spacing w:val="-7"/>
          <w:sz w:val="20"/>
        </w:rPr>
        <w:t xml:space="preserve"> </w:t>
      </w:r>
      <w:r>
        <w:rPr>
          <w:b/>
          <w:sz w:val="20"/>
        </w:rPr>
        <w:t>liquidity</w:t>
      </w:r>
      <w:r>
        <w:rPr>
          <w:b/>
          <w:spacing w:val="-9"/>
          <w:sz w:val="20"/>
        </w:rPr>
        <w:t xml:space="preserve"> </w:t>
      </w:r>
      <w:r>
        <w:rPr>
          <w:b/>
          <w:sz w:val="20"/>
        </w:rPr>
        <w:t>requirements</w:t>
      </w:r>
      <w:r>
        <w:rPr>
          <w:b/>
          <w:spacing w:val="-4"/>
          <w:sz w:val="20"/>
        </w:rPr>
        <w:t xml:space="preserve"> </w:t>
      </w:r>
      <w:r>
        <w:rPr>
          <w:b/>
          <w:sz w:val="20"/>
        </w:rPr>
        <w:t>for</w:t>
      </w:r>
      <w:r>
        <w:rPr>
          <w:b/>
          <w:spacing w:val="-6"/>
          <w:sz w:val="20"/>
        </w:rPr>
        <w:t xml:space="preserve"> </w:t>
      </w:r>
      <w:r>
        <w:rPr>
          <w:b/>
          <w:sz w:val="20"/>
        </w:rPr>
        <w:t>a</w:t>
      </w:r>
      <w:r>
        <w:rPr>
          <w:b/>
          <w:spacing w:val="-6"/>
          <w:sz w:val="20"/>
        </w:rPr>
        <w:t xml:space="preserve"> </w:t>
      </w:r>
      <w:r>
        <w:rPr>
          <w:b/>
          <w:sz w:val="20"/>
        </w:rPr>
        <w:t>period</w:t>
      </w:r>
      <w:r>
        <w:rPr>
          <w:b/>
          <w:spacing w:val="-5"/>
          <w:sz w:val="20"/>
        </w:rPr>
        <w:t xml:space="preserve"> </w:t>
      </w:r>
      <w:r>
        <w:rPr>
          <w:b/>
          <w:sz w:val="20"/>
        </w:rPr>
        <w:t>of 12 months following the distribution.</w:t>
      </w:r>
    </w:p>
    <w:p w:rsidR="004D7A2D" w:rsidP="00106D56" w14:paraId="0EC8CA0A" w14:textId="77777777">
      <w:pPr>
        <w:pStyle w:val="BodyText"/>
        <w:tabs>
          <w:tab w:val="left" w:pos="9540"/>
        </w:tabs>
        <w:ind w:left="360"/>
        <w:jc w:val="both"/>
        <w:rPr>
          <w:b/>
          <w:sz w:val="22"/>
        </w:rPr>
      </w:pPr>
    </w:p>
    <w:p w:rsidR="004D7A2D" w:rsidP="00106D56" w14:paraId="47FBA990" w14:textId="2A08C0A8">
      <w:pPr>
        <w:pStyle w:val="ListParagraph"/>
        <w:numPr>
          <w:ilvl w:val="0"/>
          <w:numId w:val="2"/>
        </w:numPr>
        <w:tabs>
          <w:tab w:val="left" w:pos="900"/>
          <w:tab w:val="left" w:pos="901"/>
          <w:tab w:val="left" w:pos="9540"/>
        </w:tabs>
        <w:ind w:left="360"/>
        <w:jc w:val="both"/>
        <w:rPr>
          <w:b/>
          <w:sz w:val="20"/>
        </w:rPr>
      </w:pPr>
      <w:r>
        <w:rPr>
          <w:b/>
          <w:sz w:val="20"/>
        </w:rPr>
        <w:t>The</w:t>
      </w:r>
      <w:r>
        <w:rPr>
          <w:b/>
          <w:spacing w:val="-4"/>
          <w:sz w:val="20"/>
        </w:rPr>
        <w:t xml:space="preserve"> </w:t>
      </w:r>
      <w:r>
        <w:rPr>
          <w:b/>
          <w:sz w:val="20"/>
        </w:rPr>
        <w:t>issuer</w:t>
      </w:r>
      <w:r>
        <w:rPr>
          <w:b/>
          <w:spacing w:val="-4"/>
          <w:sz w:val="20"/>
        </w:rPr>
        <w:t xml:space="preserve"> </w:t>
      </w:r>
      <w:r>
        <w:rPr>
          <w:b/>
          <w:sz w:val="20"/>
        </w:rPr>
        <w:t>will</w:t>
      </w:r>
      <w:r>
        <w:rPr>
          <w:b/>
          <w:spacing w:val="-4"/>
          <w:sz w:val="20"/>
        </w:rPr>
        <w:t xml:space="preserve"> </w:t>
      </w:r>
      <w:r>
        <w:rPr>
          <w:b/>
          <w:sz w:val="20"/>
        </w:rPr>
        <w:t>not allocate</w:t>
      </w:r>
      <w:r>
        <w:rPr>
          <w:b/>
          <w:spacing w:val="-4"/>
          <w:sz w:val="20"/>
        </w:rPr>
        <w:t xml:space="preserve"> </w:t>
      </w:r>
      <w:r>
        <w:rPr>
          <w:b/>
          <w:sz w:val="20"/>
        </w:rPr>
        <w:t>the</w:t>
      </w:r>
      <w:r>
        <w:rPr>
          <w:b/>
          <w:spacing w:val="-4"/>
          <w:sz w:val="20"/>
        </w:rPr>
        <w:t xml:space="preserve"> </w:t>
      </w:r>
      <w:r>
        <w:rPr>
          <w:b/>
          <w:sz w:val="20"/>
        </w:rPr>
        <w:t>available</w:t>
      </w:r>
      <w:r>
        <w:rPr>
          <w:b/>
          <w:spacing w:val="-4"/>
          <w:sz w:val="20"/>
        </w:rPr>
        <w:t xml:space="preserve"> </w:t>
      </w:r>
      <w:r>
        <w:rPr>
          <w:b/>
          <w:sz w:val="20"/>
        </w:rPr>
        <w:t>funds</w:t>
      </w:r>
      <w:r>
        <w:rPr>
          <w:b/>
          <w:spacing w:val="-4"/>
          <w:sz w:val="20"/>
        </w:rPr>
        <w:t xml:space="preserve"> </w:t>
      </w:r>
      <w:r>
        <w:rPr>
          <w:b/>
          <w:sz w:val="20"/>
        </w:rPr>
        <w:t>from</w:t>
      </w:r>
      <w:r>
        <w:rPr>
          <w:b/>
          <w:spacing w:val="-4"/>
          <w:sz w:val="20"/>
        </w:rPr>
        <w:t xml:space="preserve"> </w:t>
      </w:r>
      <w:r>
        <w:rPr>
          <w:b/>
          <w:sz w:val="20"/>
        </w:rPr>
        <w:t>this</w:t>
      </w:r>
      <w:r>
        <w:rPr>
          <w:b/>
          <w:spacing w:val="-4"/>
          <w:sz w:val="20"/>
        </w:rPr>
        <w:t xml:space="preserve"> </w:t>
      </w:r>
      <w:r>
        <w:rPr>
          <w:b/>
          <w:sz w:val="20"/>
        </w:rPr>
        <w:t>offering</w:t>
      </w:r>
      <w:r>
        <w:rPr>
          <w:b/>
          <w:spacing w:val="-3"/>
          <w:sz w:val="20"/>
        </w:rPr>
        <w:t xml:space="preserve"> </w:t>
      </w:r>
      <w:r>
        <w:rPr>
          <w:b/>
          <w:sz w:val="20"/>
        </w:rPr>
        <w:t>to</w:t>
      </w:r>
      <w:r>
        <w:rPr>
          <w:b/>
          <w:spacing w:val="-3"/>
          <w:sz w:val="20"/>
        </w:rPr>
        <w:t xml:space="preserve"> </w:t>
      </w:r>
      <w:r>
        <w:rPr>
          <w:b/>
          <w:sz w:val="20"/>
        </w:rPr>
        <w:t>an</w:t>
      </w:r>
      <w:r>
        <w:rPr>
          <w:b/>
          <w:spacing w:val="-4"/>
          <w:sz w:val="20"/>
        </w:rPr>
        <w:t xml:space="preserve"> </w:t>
      </w:r>
      <w:r>
        <w:rPr>
          <w:b/>
          <w:sz w:val="20"/>
        </w:rPr>
        <w:t>acquisition</w:t>
      </w:r>
      <w:r>
        <w:rPr>
          <w:b/>
          <w:spacing w:val="-3"/>
          <w:sz w:val="20"/>
        </w:rPr>
        <w:t xml:space="preserve"> </w:t>
      </w:r>
      <w:r>
        <w:rPr>
          <w:b/>
          <w:sz w:val="20"/>
        </w:rPr>
        <w:t>that</w:t>
      </w:r>
      <w:r>
        <w:rPr>
          <w:b/>
          <w:spacing w:val="-4"/>
          <w:sz w:val="20"/>
        </w:rPr>
        <w:t xml:space="preserve"> </w:t>
      </w:r>
      <w:r>
        <w:rPr>
          <w:b/>
          <w:sz w:val="20"/>
        </w:rPr>
        <w:t>is</w:t>
      </w:r>
      <w:r>
        <w:rPr>
          <w:b/>
          <w:spacing w:val="-4"/>
          <w:sz w:val="20"/>
        </w:rPr>
        <w:t xml:space="preserve"> </w:t>
      </w:r>
      <w:r>
        <w:rPr>
          <w:b/>
          <w:sz w:val="20"/>
        </w:rPr>
        <w:t>a significant acquisition or restructuring transaction under securities law or to any other transaction for which the issuer seeks security holder approval.</w:t>
      </w:r>
    </w:p>
    <w:p w:rsidR="004D7A2D" w:rsidP="00106D56" w14:paraId="1CA4E18A" w14:textId="77777777">
      <w:pPr>
        <w:pStyle w:val="BodyText"/>
        <w:tabs>
          <w:tab w:val="left" w:pos="9540"/>
        </w:tabs>
        <w:spacing w:before="9"/>
        <w:rPr>
          <w:b/>
        </w:rPr>
      </w:pPr>
    </w:p>
    <w:p w:rsidR="004D7A2D" w:rsidP="00106D56" w14:paraId="7C6D3802" w14:textId="5A263120">
      <w:pPr>
        <w:pStyle w:val="Heading1"/>
        <w:tabs>
          <w:tab w:val="left" w:pos="9540"/>
        </w:tabs>
        <w:ind w:left="0" w:right="0"/>
      </w:pPr>
      <w:r>
        <w:t>CAUTIONARY</w:t>
      </w:r>
      <w:r>
        <w:rPr>
          <w:spacing w:val="-13"/>
        </w:rPr>
        <w:t xml:space="preserve"> </w:t>
      </w:r>
      <w:r>
        <w:t>NOTE</w:t>
      </w:r>
      <w:r>
        <w:rPr>
          <w:spacing w:val="-10"/>
        </w:rPr>
        <w:t xml:space="preserve"> </w:t>
      </w:r>
      <w:r>
        <w:t>REGARDING</w:t>
      </w:r>
      <w:r>
        <w:rPr>
          <w:spacing w:val="-11"/>
        </w:rPr>
        <w:t xml:space="preserve"> </w:t>
      </w:r>
      <w:r>
        <w:t>FORWARD-LOOKING</w:t>
      </w:r>
      <w:r>
        <w:rPr>
          <w:spacing w:val="-10"/>
        </w:rPr>
        <w:t xml:space="preserve"> </w:t>
      </w:r>
      <w:r>
        <w:rPr>
          <w:spacing w:val="-2"/>
        </w:rPr>
        <w:t>STATEMENTS</w:t>
      </w:r>
      <w:r w:rsidR="00681EEF">
        <w:rPr>
          <w:spacing w:val="-2"/>
        </w:rPr>
        <w:t xml:space="preserve"> AND PRODUCTION DECISIONS</w:t>
      </w:r>
    </w:p>
    <w:p w:rsidR="004D7A2D" w:rsidP="00106D56" w14:paraId="050A8C82" w14:textId="77777777">
      <w:pPr>
        <w:pStyle w:val="BodyText"/>
        <w:tabs>
          <w:tab w:val="left" w:pos="9540"/>
        </w:tabs>
        <w:spacing w:before="8"/>
        <w:rPr>
          <w:b/>
        </w:rPr>
      </w:pPr>
    </w:p>
    <w:p w:rsidR="004D7A2D" w:rsidP="00106D56" w14:paraId="00BCFA5F" w14:textId="469575C0">
      <w:pPr>
        <w:pStyle w:val="BodyText"/>
        <w:tabs>
          <w:tab w:val="left" w:pos="9540"/>
        </w:tabs>
        <w:jc w:val="both"/>
      </w:pPr>
      <w:r>
        <w:t xml:space="preserve">Certain statements in this Offering Document are forward-looking statements or information (collectively </w:t>
      </w:r>
      <w:r w:rsidR="00782D24">
        <w:t>“</w:t>
      </w:r>
      <w:r>
        <w:rPr>
          <w:b/>
        </w:rPr>
        <w:t>forward-looking statements</w:t>
      </w:r>
      <w:r w:rsidR="00782D24">
        <w:t>”</w:t>
      </w:r>
      <w:r>
        <w:t>). The Company is providing cautionary statements identifying important factors that could cause the Company’s actual results to differ materially from those projected in these forward-looking statements. Any statements that express, or involve discussions as to, expectations, beliefs,</w:t>
      </w:r>
      <w:r>
        <w:rPr>
          <w:spacing w:val="-2"/>
        </w:rPr>
        <w:t xml:space="preserve"> </w:t>
      </w:r>
      <w:r>
        <w:t>plans,</w:t>
      </w:r>
      <w:r>
        <w:rPr>
          <w:spacing w:val="-4"/>
        </w:rPr>
        <w:t xml:space="preserve"> </w:t>
      </w:r>
      <w:r>
        <w:t>objectives,</w:t>
      </w:r>
      <w:r>
        <w:rPr>
          <w:spacing w:val="-4"/>
        </w:rPr>
        <w:t xml:space="preserve"> </w:t>
      </w:r>
      <w:r>
        <w:t>assumptions</w:t>
      </w:r>
      <w:r w:rsidR="00A56805">
        <w:rPr>
          <w:spacing w:val="-3"/>
        </w:rPr>
        <w:t xml:space="preserve">, </w:t>
      </w:r>
      <w:r>
        <w:t>future</w:t>
      </w:r>
      <w:r>
        <w:rPr>
          <w:spacing w:val="-2"/>
        </w:rPr>
        <w:t xml:space="preserve"> </w:t>
      </w:r>
      <w:r>
        <w:t>events</w:t>
      </w:r>
      <w:r>
        <w:rPr>
          <w:spacing w:val="-3"/>
        </w:rPr>
        <w:t xml:space="preserve"> </w:t>
      </w:r>
      <w:r>
        <w:t>or</w:t>
      </w:r>
      <w:r>
        <w:rPr>
          <w:spacing w:val="-4"/>
        </w:rPr>
        <w:t xml:space="preserve"> </w:t>
      </w:r>
      <w:r>
        <w:t>performance</w:t>
      </w:r>
      <w:r>
        <w:rPr>
          <w:spacing w:val="-4"/>
        </w:rPr>
        <w:t xml:space="preserve"> </w:t>
      </w:r>
      <w:r>
        <w:t>(often,</w:t>
      </w:r>
      <w:r>
        <w:rPr>
          <w:spacing w:val="-2"/>
        </w:rPr>
        <w:t xml:space="preserve"> </w:t>
      </w:r>
      <w:r>
        <w:t>but</w:t>
      </w:r>
      <w:r>
        <w:rPr>
          <w:spacing w:val="-4"/>
        </w:rPr>
        <w:t xml:space="preserve"> </w:t>
      </w:r>
      <w:r>
        <w:t>not</w:t>
      </w:r>
      <w:r>
        <w:rPr>
          <w:spacing w:val="-2"/>
        </w:rPr>
        <w:t xml:space="preserve"> </w:t>
      </w:r>
      <w:r>
        <w:t>always,</w:t>
      </w:r>
      <w:r>
        <w:rPr>
          <w:spacing w:val="-4"/>
        </w:rPr>
        <w:t xml:space="preserve"> </w:t>
      </w:r>
      <w:r>
        <w:t>through</w:t>
      </w:r>
      <w:r>
        <w:rPr>
          <w:spacing w:val="-4"/>
        </w:rPr>
        <w:t xml:space="preserve"> </w:t>
      </w:r>
      <w:r>
        <w:t xml:space="preserve">the use of words or phrases such as </w:t>
      </w:r>
      <w:r w:rsidR="00782D24">
        <w:t>“</w:t>
      </w:r>
      <w:r>
        <w:t>may</w:t>
      </w:r>
      <w:r w:rsidR="00782D24">
        <w:t>”</w:t>
      </w:r>
      <w:r>
        <w:t xml:space="preserve">, </w:t>
      </w:r>
      <w:r w:rsidR="00782D24">
        <w:t>“</w:t>
      </w:r>
      <w:r>
        <w:t>anticipates</w:t>
      </w:r>
      <w:r w:rsidR="00782D24">
        <w:t>”</w:t>
      </w:r>
      <w:r>
        <w:t xml:space="preserve">, </w:t>
      </w:r>
      <w:r w:rsidR="00782D24">
        <w:t>“</w:t>
      </w:r>
      <w:r>
        <w:t>is expected to</w:t>
      </w:r>
      <w:r w:rsidR="00782D24">
        <w:t>”</w:t>
      </w:r>
      <w:r>
        <w:t xml:space="preserve">, </w:t>
      </w:r>
      <w:r w:rsidR="00782D24">
        <w:t>“</w:t>
      </w:r>
      <w:r>
        <w:t>estimates</w:t>
      </w:r>
      <w:r w:rsidR="00782D24">
        <w:t>”</w:t>
      </w:r>
      <w:r>
        <w:t xml:space="preserve">, </w:t>
      </w:r>
      <w:r w:rsidR="00782D24">
        <w:t>“</w:t>
      </w:r>
      <w:r>
        <w:t>intends</w:t>
      </w:r>
      <w:r w:rsidR="00782D24">
        <w:t>”</w:t>
      </w:r>
      <w:r>
        <w:t xml:space="preserve">, </w:t>
      </w:r>
      <w:r w:rsidR="00782D24">
        <w:t>“</w:t>
      </w:r>
      <w:r>
        <w:t>plans</w:t>
      </w:r>
      <w:r w:rsidR="00782D24">
        <w:t>”</w:t>
      </w:r>
      <w:r>
        <w:t xml:space="preserve">, </w:t>
      </w:r>
      <w:r w:rsidR="00782D24">
        <w:t>“</w:t>
      </w:r>
      <w:r>
        <w:t>could</w:t>
      </w:r>
      <w:r w:rsidR="00782D24">
        <w:t>”</w:t>
      </w:r>
      <w:r>
        <w:t xml:space="preserve">, </w:t>
      </w:r>
      <w:r w:rsidR="00782D24">
        <w:t>“</w:t>
      </w:r>
      <w:r>
        <w:t>vision</w:t>
      </w:r>
      <w:r w:rsidR="00782D24">
        <w:t>”</w:t>
      </w:r>
      <w:r>
        <w:t xml:space="preserve">, </w:t>
      </w:r>
      <w:r w:rsidR="00782D24">
        <w:t>“</w:t>
      </w:r>
      <w:r>
        <w:t>goals</w:t>
      </w:r>
      <w:r w:rsidR="00782D24">
        <w:t>”</w:t>
      </w:r>
      <w:r>
        <w:t xml:space="preserve">, </w:t>
      </w:r>
      <w:r w:rsidR="00782D24">
        <w:t>“</w:t>
      </w:r>
      <w:r>
        <w:t>objective</w:t>
      </w:r>
      <w:r w:rsidR="00782D24">
        <w:t>”</w:t>
      </w:r>
      <w:r>
        <w:t xml:space="preserve"> and </w:t>
      </w:r>
      <w:r w:rsidR="00782D24">
        <w:t>“</w:t>
      </w:r>
      <w:r>
        <w:t>outlook</w:t>
      </w:r>
      <w:r w:rsidR="00782D24">
        <w:t>”</w:t>
      </w:r>
      <w:r>
        <w:t>) are not historical facts and may be forward-looking</w:t>
      </w:r>
      <w:r w:rsidR="00A56805">
        <w:t xml:space="preserve"> statements</w:t>
      </w:r>
      <w:r>
        <w:t>.</w:t>
      </w:r>
      <w:r>
        <w:rPr>
          <w:spacing w:val="-5"/>
        </w:rPr>
        <w:t xml:space="preserve"> </w:t>
      </w:r>
      <w:r>
        <w:t>The</w:t>
      </w:r>
      <w:r>
        <w:rPr>
          <w:spacing w:val="-4"/>
        </w:rPr>
        <w:t xml:space="preserve"> </w:t>
      </w:r>
      <w:r>
        <w:t>Company</w:t>
      </w:r>
      <w:r>
        <w:rPr>
          <w:spacing w:val="-3"/>
        </w:rPr>
        <w:t xml:space="preserve"> </w:t>
      </w:r>
      <w:r>
        <w:t>has</w:t>
      </w:r>
      <w:r>
        <w:rPr>
          <w:spacing w:val="-3"/>
        </w:rPr>
        <w:t xml:space="preserve"> </w:t>
      </w:r>
      <w:r>
        <w:t>based</w:t>
      </w:r>
      <w:r>
        <w:rPr>
          <w:spacing w:val="-4"/>
        </w:rPr>
        <w:t xml:space="preserve"> </w:t>
      </w:r>
      <w:r>
        <w:t>the</w:t>
      </w:r>
      <w:r>
        <w:rPr>
          <w:spacing w:val="-4"/>
        </w:rPr>
        <w:t xml:space="preserve"> </w:t>
      </w:r>
      <w:r>
        <w:t>forward-looking</w:t>
      </w:r>
      <w:r>
        <w:rPr>
          <w:spacing w:val="-4"/>
        </w:rPr>
        <w:t xml:space="preserve"> </w:t>
      </w:r>
      <w:r>
        <w:t>statements</w:t>
      </w:r>
      <w:r>
        <w:rPr>
          <w:spacing w:val="-1"/>
        </w:rPr>
        <w:t xml:space="preserve"> </w:t>
      </w:r>
      <w:r>
        <w:t>largely</w:t>
      </w:r>
      <w:r>
        <w:rPr>
          <w:spacing w:val="-1"/>
        </w:rPr>
        <w:t xml:space="preserve"> </w:t>
      </w:r>
      <w:r>
        <w:t>on</w:t>
      </w:r>
      <w:r>
        <w:rPr>
          <w:spacing w:val="-5"/>
        </w:rPr>
        <w:t xml:space="preserve"> </w:t>
      </w:r>
      <w:r>
        <w:t>its</w:t>
      </w:r>
      <w:r>
        <w:rPr>
          <w:spacing w:val="-3"/>
        </w:rPr>
        <w:t xml:space="preserve"> </w:t>
      </w:r>
      <w:r>
        <w:t>current estimates, assumptions</w:t>
      </w:r>
      <w:r>
        <w:rPr>
          <w:spacing w:val="-2"/>
        </w:rPr>
        <w:t xml:space="preserve"> </w:t>
      </w:r>
      <w:r>
        <w:t>and</w:t>
      </w:r>
      <w:r>
        <w:rPr>
          <w:spacing w:val="-2"/>
        </w:rPr>
        <w:t xml:space="preserve"> </w:t>
      </w:r>
      <w:r>
        <w:t>projections</w:t>
      </w:r>
      <w:r>
        <w:rPr>
          <w:spacing w:val="-2"/>
        </w:rPr>
        <w:t xml:space="preserve"> </w:t>
      </w:r>
      <w:r>
        <w:t>about</w:t>
      </w:r>
      <w:r>
        <w:rPr>
          <w:spacing w:val="-1"/>
        </w:rPr>
        <w:t xml:space="preserve"> </w:t>
      </w:r>
      <w:r>
        <w:t>future</w:t>
      </w:r>
      <w:r>
        <w:rPr>
          <w:spacing w:val="-3"/>
        </w:rPr>
        <w:t xml:space="preserve"> </w:t>
      </w:r>
      <w:r>
        <w:t>events</w:t>
      </w:r>
      <w:r>
        <w:rPr>
          <w:spacing w:val="-2"/>
        </w:rPr>
        <w:t xml:space="preserve"> </w:t>
      </w:r>
      <w:r>
        <w:t>and</w:t>
      </w:r>
      <w:r>
        <w:rPr>
          <w:spacing w:val="-3"/>
        </w:rPr>
        <w:t xml:space="preserve"> </w:t>
      </w:r>
      <w:r>
        <w:t>trends</w:t>
      </w:r>
      <w:r>
        <w:rPr>
          <w:spacing w:val="-2"/>
        </w:rPr>
        <w:t xml:space="preserve"> </w:t>
      </w:r>
      <w:r>
        <w:t>that</w:t>
      </w:r>
      <w:r>
        <w:rPr>
          <w:spacing w:val="-1"/>
        </w:rPr>
        <w:t xml:space="preserve"> </w:t>
      </w:r>
      <w:r>
        <w:t>it</w:t>
      </w:r>
      <w:r>
        <w:rPr>
          <w:spacing w:val="-3"/>
        </w:rPr>
        <w:t xml:space="preserve"> </w:t>
      </w:r>
      <w:r>
        <w:t>believes,</w:t>
      </w:r>
      <w:r>
        <w:rPr>
          <w:spacing w:val="-3"/>
        </w:rPr>
        <w:t xml:space="preserve"> </w:t>
      </w:r>
      <w:r>
        <w:t>as</w:t>
      </w:r>
      <w:r>
        <w:rPr>
          <w:spacing w:val="-2"/>
        </w:rPr>
        <w:t xml:space="preserve"> </w:t>
      </w:r>
      <w:r>
        <w:t>of</w:t>
      </w:r>
      <w:r>
        <w:rPr>
          <w:spacing w:val="-3"/>
        </w:rPr>
        <w:t xml:space="preserve"> </w:t>
      </w:r>
      <w:r>
        <w:t>the</w:t>
      </w:r>
      <w:r>
        <w:rPr>
          <w:spacing w:val="-3"/>
        </w:rPr>
        <w:t xml:space="preserve"> </w:t>
      </w:r>
      <w:r>
        <w:t>date</w:t>
      </w:r>
      <w:r>
        <w:rPr>
          <w:spacing w:val="-2"/>
        </w:rPr>
        <w:t xml:space="preserve"> </w:t>
      </w:r>
      <w:r>
        <w:t>of this</w:t>
      </w:r>
      <w:r>
        <w:rPr>
          <w:spacing w:val="-1"/>
        </w:rPr>
        <w:t xml:space="preserve"> </w:t>
      </w:r>
      <w:r>
        <w:t xml:space="preserve">Offering Document, may affect its business, financial condition, and results of operations. These forward-looking statements include, among other things, statements relating to: </w:t>
      </w:r>
      <w:r w:rsidR="00E1066C">
        <w:t>the sale of the Units and the closing of the Offering</w:t>
      </w:r>
      <w:r w:rsidR="00A56805">
        <w:t xml:space="preserve"> on the terms described herein or at all</w:t>
      </w:r>
      <w:r w:rsidR="00E1066C">
        <w:t xml:space="preserve">; </w:t>
      </w:r>
      <w:r w:rsidR="00A077D2">
        <w:t xml:space="preserve">the expected Closing Date; </w:t>
      </w:r>
      <w:r w:rsidR="00E1066C">
        <w:t xml:space="preserve">the use of proceeds of the Offering; </w:t>
      </w:r>
      <w:r w:rsidR="00C46898">
        <w:t>the</w:t>
      </w:r>
      <w:r w:rsidR="00E1066C">
        <w:t xml:space="preserve"> </w:t>
      </w:r>
      <w:r w:rsidR="00C46898">
        <w:t>gross proceeds</w:t>
      </w:r>
      <w:r w:rsidR="00E1066C">
        <w:t xml:space="preserve"> and net proceeds</w:t>
      </w:r>
      <w:r w:rsidR="00C46898">
        <w:t xml:space="preserve"> from the Offering; </w:t>
      </w:r>
      <w:r w:rsidR="00E1066C">
        <w:t xml:space="preserve">expected costs of the Offering; financial estimates; </w:t>
      </w:r>
      <w:r>
        <w:t>the business, operations and</w:t>
      </w:r>
      <w:r w:rsidR="00A11AF5">
        <w:t xml:space="preserve"> anticipated development</w:t>
      </w:r>
      <w:r>
        <w:t xml:space="preserve"> of the Company</w:t>
      </w:r>
      <w:r w:rsidR="00A11AF5">
        <w:t xml:space="preserve"> and its assets</w:t>
      </w:r>
      <w:r>
        <w:t xml:space="preserve">; </w:t>
      </w:r>
      <w:r w:rsidR="002A69E8">
        <w:t xml:space="preserve">the Company's ability to continue as a going concern; </w:t>
      </w:r>
      <w:r w:rsidR="00315906">
        <w:t xml:space="preserve">and </w:t>
      </w:r>
      <w:r>
        <w:t>the business objectives and milestones of the Company.</w:t>
      </w:r>
    </w:p>
    <w:p w:rsidR="004D7A2D" w:rsidP="00106D56" w14:paraId="6CDDC941" w14:textId="77777777">
      <w:pPr>
        <w:pStyle w:val="BodyText"/>
        <w:tabs>
          <w:tab w:val="left" w:pos="9540"/>
        </w:tabs>
        <w:spacing w:before="1"/>
        <w:jc w:val="both"/>
        <w:rPr>
          <w:sz w:val="21"/>
        </w:rPr>
      </w:pPr>
    </w:p>
    <w:p w:rsidR="004D7A2D" w:rsidP="00106D56" w14:paraId="137EAC0B" w14:textId="1FC5F2F6">
      <w:pPr>
        <w:pStyle w:val="BodyText"/>
        <w:tabs>
          <w:tab w:val="left" w:pos="9540"/>
        </w:tabs>
        <w:jc w:val="both"/>
      </w:pPr>
      <w:r>
        <w:t>Forward-looking statements are based on the then-current expectations, beliefs, assumptions, estimates and forecasts about the Company’s business and the industry and markets in which it operates. In making the forward-looking statements included in this Offering Document, the Company has made various</w:t>
      </w:r>
      <w:r>
        <w:rPr>
          <w:spacing w:val="-4"/>
        </w:rPr>
        <w:t xml:space="preserve"> </w:t>
      </w:r>
      <w:r>
        <w:t>assumptions,</w:t>
      </w:r>
      <w:r>
        <w:rPr>
          <w:spacing w:val="-5"/>
        </w:rPr>
        <w:t xml:space="preserve"> </w:t>
      </w:r>
      <w:r>
        <w:t>including,</w:t>
      </w:r>
      <w:r>
        <w:rPr>
          <w:spacing w:val="-5"/>
        </w:rPr>
        <w:t xml:space="preserve"> </w:t>
      </w:r>
      <w:r>
        <w:t>among</w:t>
      </w:r>
      <w:r>
        <w:rPr>
          <w:spacing w:val="-5"/>
        </w:rPr>
        <w:t xml:space="preserve"> </w:t>
      </w:r>
      <w:r>
        <w:t>others,</w:t>
      </w:r>
      <w:r>
        <w:rPr>
          <w:spacing w:val="-5"/>
        </w:rPr>
        <w:t xml:space="preserve"> </w:t>
      </w:r>
      <w:r>
        <w:t>that:</w:t>
      </w:r>
      <w:r>
        <w:rPr>
          <w:spacing w:val="-4"/>
        </w:rPr>
        <w:t xml:space="preserve"> </w:t>
      </w:r>
      <w:r>
        <w:t>the</w:t>
      </w:r>
      <w:r>
        <w:rPr>
          <w:spacing w:val="-5"/>
        </w:rPr>
        <w:t xml:space="preserve"> </w:t>
      </w:r>
      <w:r>
        <w:t>Offering</w:t>
      </w:r>
      <w:r>
        <w:rPr>
          <w:spacing w:val="-5"/>
        </w:rPr>
        <w:t xml:space="preserve"> </w:t>
      </w:r>
      <w:r>
        <w:t>will</w:t>
      </w:r>
      <w:r>
        <w:rPr>
          <w:spacing w:val="-6"/>
        </w:rPr>
        <w:t xml:space="preserve"> </w:t>
      </w:r>
      <w:r>
        <w:t>be</w:t>
      </w:r>
      <w:r>
        <w:rPr>
          <w:spacing w:val="-6"/>
        </w:rPr>
        <w:t xml:space="preserve"> </w:t>
      </w:r>
      <w:r>
        <w:t>completed</w:t>
      </w:r>
      <w:r>
        <w:rPr>
          <w:spacing w:val="-6"/>
        </w:rPr>
        <w:t xml:space="preserve"> </w:t>
      </w:r>
      <w:r>
        <w:t>and</w:t>
      </w:r>
      <w:r>
        <w:rPr>
          <w:spacing w:val="-6"/>
        </w:rPr>
        <w:t xml:space="preserve"> </w:t>
      </w:r>
      <w:r>
        <w:t>that</w:t>
      </w:r>
      <w:r>
        <w:rPr>
          <w:spacing w:val="-3"/>
        </w:rPr>
        <w:t xml:space="preserve"> </w:t>
      </w:r>
      <w:r>
        <w:t>any</w:t>
      </w:r>
      <w:r>
        <w:rPr>
          <w:spacing w:val="-4"/>
        </w:rPr>
        <w:t xml:space="preserve"> </w:t>
      </w:r>
      <w:r>
        <w:t>additional financing</w:t>
      </w:r>
      <w:r>
        <w:rPr>
          <w:spacing w:val="-5"/>
        </w:rPr>
        <w:t xml:space="preserve"> </w:t>
      </w:r>
      <w:r>
        <w:t>required</w:t>
      </w:r>
      <w:r>
        <w:rPr>
          <w:spacing w:val="-5"/>
        </w:rPr>
        <w:t xml:space="preserve"> </w:t>
      </w:r>
      <w:r>
        <w:t>will</w:t>
      </w:r>
      <w:r>
        <w:rPr>
          <w:spacing w:val="-4"/>
        </w:rPr>
        <w:t xml:space="preserve"> </w:t>
      </w:r>
      <w:r>
        <w:t>be</w:t>
      </w:r>
      <w:r>
        <w:rPr>
          <w:spacing w:val="-3"/>
        </w:rPr>
        <w:t xml:space="preserve"> </w:t>
      </w:r>
      <w:r>
        <w:t>available</w:t>
      </w:r>
      <w:r>
        <w:rPr>
          <w:spacing w:val="-5"/>
        </w:rPr>
        <w:t xml:space="preserve"> </w:t>
      </w:r>
      <w:r>
        <w:t>on</w:t>
      </w:r>
      <w:r>
        <w:rPr>
          <w:spacing w:val="-3"/>
        </w:rPr>
        <w:t xml:space="preserve"> </w:t>
      </w:r>
      <w:r>
        <w:t>reasonable</w:t>
      </w:r>
      <w:r>
        <w:rPr>
          <w:spacing w:val="-3"/>
        </w:rPr>
        <w:t xml:space="preserve"> </w:t>
      </w:r>
      <w:r>
        <w:t>terms;</w:t>
      </w:r>
      <w:r>
        <w:rPr>
          <w:spacing w:val="-3"/>
        </w:rPr>
        <w:t xml:space="preserve"> </w:t>
      </w:r>
      <w:r>
        <w:t>the</w:t>
      </w:r>
      <w:r>
        <w:rPr>
          <w:spacing w:val="-7"/>
        </w:rPr>
        <w:t xml:space="preserve"> </w:t>
      </w:r>
      <w:r>
        <w:t>Company</w:t>
      </w:r>
      <w:r>
        <w:rPr>
          <w:spacing w:val="-4"/>
        </w:rPr>
        <w:t xml:space="preserve"> </w:t>
      </w:r>
      <w:r>
        <w:t>will</w:t>
      </w:r>
      <w:r>
        <w:rPr>
          <w:spacing w:val="-6"/>
        </w:rPr>
        <w:t xml:space="preserve"> </w:t>
      </w:r>
      <w:r>
        <w:t>be</w:t>
      </w:r>
      <w:r>
        <w:rPr>
          <w:spacing w:val="-6"/>
        </w:rPr>
        <w:t xml:space="preserve"> </w:t>
      </w:r>
      <w:r>
        <w:t>able</w:t>
      </w:r>
      <w:r>
        <w:rPr>
          <w:spacing w:val="-3"/>
        </w:rPr>
        <w:t xml:space="preserve"> </w:t>
      </w:r>
      <w:r>
        <w:t>to</w:t>
      </w:r>
      <w:r>
        <w:rPr>
          <w:spacing w:val="-5"/>
        </w:rPr>
        <w:t xml:space="preserve"> </w:t>
      </w:r>
      <w:r>
        <w:t>raise</w:t>
      </w:r>
      <w:r>
        <w:rPr>
          <w:spacing w:val="-5"/>
        </w:rPr>
        <w:t xml:space="preserve"> </w:t>
      </w:r>
      <w:r>
        <w:t>any</w:t>
      </w:r>
      <w:r>
        <w:rPr>
          <w:spacing w:val="-4"/>
        </w:rPr>
        <w:t xml:space="preserve"> </w:t>
      </w:r>
      <w:r>
        <w:t>necessary additional capital on reasonable terms to execute the Company’s business plan</w:t>
      </w:r>
      <w:r w:rsidR="00AF4773">
        <w:t>s</w:t>
      </w:r>
      <w:r w:rsidR="002517EF">
        <w:t>;</w:t>
      </w:r>
      <w:r>
        <w:t xml:space="preserve"> the Company’s current corporate activities will proceed as expected</w:t>
      </w:r>
      <w:r w:rsidR="003314F9">
        <w:t xml:space="preserve">; </w:t>
      </w:r>
      <w:r>
        <w:t>general business and economic conditions will not change in a material adverse manner; budgeted costs and expenditures are and will continue to be accurate; future currency exchange and interest rates will remain consistent with the Company’s expectations; the Company will be able to attract and retain skilled personnel; the political, legal and regulatory environments in which the Company operates will remain stable; any required governmental, regulatory</w:t>
      </w:r>
      <w:r w:rsidR="00B375C0">
        <w:t xml:space="preserve">, </w:t>
      </w:r>
      <w:r w:rsidR="00A11AF5">
        <w:t>CSE</w:t>
      </w:r>
      <w:r w:rsidR="00B375C0">
        <w:t xml:space="preserve"> </w:t>
      </w:r>
      <w:r>
        <w:t>and</w:t>
      </w:r>
      <w:r>
        <w:rPr>
          <w:spacing w:val="-3"/>
        </w:rPr>
        <w:t xml:space="preserve"> </w:t>
      </w:r>
      <w:r>
        <w:t>third-party</w:t>
      </w:r>
      <w:r>
        <w:rPr>
          <w:spacing w:val="-2"/>
        </w:rPr>
        <w:t xml:space="preserve"> </w:t>
      </w:r>
      <w:r>
        <w:t>approvals, licenses</w:t>
      </w:r>
      <w:r>
        <w:rPr>
          <w:spacing w:val="-2"/>
        </w:rPr>
        <w:t xml:space="preserve"> </w:t>
      </w:r>
      <w:r>
        <w:t>and</w:t>
      </w:r>
      <w:r>
        <w:rPr>
          <w:spacing w:val="-1"/>
        </w:rPr>
        <w:t xml:space="preserve"> </w:t>
      </w:r>
      <w:r>
        <w:t>permits</w:t>
      </w:r>
      <w:r>
        <w:rPr>
          <w:spacing w:val="-2"/>
        </w:rPr>
        <w:t xml:space="preserve"> </w:t>
      </w:r>
      <w:r>
        <w:t>will</w:t>
      </w:r>
      <w:r>
        <w:rPr>
          <w:spacing w:val="-3"/>
        </w:rPr>
        <w:t xml:space="preserve"> </w:t>
      </w:r>
      <w:r>
        <w:t>be obtained</w:t>
      </w:r>
      <w:r>
        <w:rPr>
          <w:spacing w:val="-3"/>
        </w:rPr>
        <w:t xml:space="preserve"> </w:t>
      </w:r>
      <w:r>
        <w:t>on</w:t>
      </w:r>
      <w:r>
        <w:rPr>
          <w:spacing w:val="-3"/>
        </w:rPr>
        <w:t xml:space="preserve"> </w:t>
      </w:r>
      <w:r>
        <w:t>favourable terms;</w:t>
      </w:r>
      <w:r>
        <w:rPr>
          <w:spacing w:val="-3"/>
        </w:rPr>
        <w:t xml:space="preserve"> </w:t>
      </w:r>
      <w:r>
        <w:t>financial</w:t>
      </w:r>
      <w:r>
        <w:rPr>
          <w:spacing w:val="-2"/>
        </w:rPr>
        <w:t xml:space="preserve"> </w:t>
      </w:r>
      <w:r>
        <w:t>and</w:t>
      </w:r>
      <w:r>
        <w:rPr>
          <w:spacing w:val="-2"/>
        </w:rPr>
        <w:t xml:space="preserve"> </w:t>
      </w:r>
      <w:r>
        <w:t xml:space="preserve">capital markets will remain stable; and the effects of </w:t>
      </w:r>
      <w:r w:rsidR="000B2D36">
        <w:t>force majeure events</w:t>
      </w:r>
      <w:r>
        <w:t xml:space="preserve"> on the operations of the Company</w:t>
      </w:r>
      <w:r w:rsidR="00EA4E56">
        <w:t xml:space="preserve"> will be consistent with the Company’s expectations</w:t>
      </w:r>
      <w:r>
        <w:t>.</w:t>
      </w:r>
      <w:r>
        <w:rPr>
          <w:spacing w:val="-1"/>
        </w:rPr>
        <w:t xml:space="preserve"> </w:t>
      </w:r>
      <w:r>
        <w:t>Although management</w:t>
      </w:r>
      <w:r>
        <w:rPr>
          <w:spacing w:val="-1"/>
        </w:rPr>
        <w:t xml:space="preserve"> </w:t>
      </w:r>
      <w:r>
        <w:t>believes that these assumptions are reasonable, they may prove to be incorrect.</w:t>
      </w:r>
    </w:p>
    <w:p w:rsidR="004D7A2D" w:rsidP="00106D56" w14:paraId="7D9AD060" w14:textId="77777777">
      <w:pPr>
        <w:pStyle w:val="BodyText"/>
        <w:tabs>
          <w:tab w:val="left" w:pos="9540"/>
        </w:tabs>
        <w:spacing w:before="9"/>
        <w:jc w:val="both"/>
      </w:pPr>
    </w:p>
    <w:p w:rsidR="004D7A2D" w:rsidP="00375B7E" w14:paraId="0B236267" w14:textId="4A06EFBD">
      <w:pPr>
        <w:pStyle w:val="BodyText"/>
        <w:keepNext/>
        <w:keepLines/>
        <w:tabs>
          <w:tab w:val="left" w:pos="9540"/>
        </w:tabs>
        <w:jc w:val="both"/>
      </w:pPr>
      <w:r>
        <w:t>By their nature, forward-looking statements involve numerous inherent risks and uncertainties, both general</w:t>
      </w:r>
      <w:r>
        <w:rPr>
          <w:spacing w:val="-5"/>
        </w:rPr>
        <w:t xml:space="preserve"> </w:t>
      </w:r>
      <w:r>
        <w:t>and</w:t>
      </w:r>
      <w:r>
        <w:rPr>
          <w:spacing w:val="-5"/>
        </w:rPr>
        <w:t xml:space="preserve"> </w:t>
      </w:r>
      <w:r>
        <w:t>specific,</w:t>
      </w:r>
      <w:r>
        <w:rPr>
          <w:spacing w:val="-5"/>
        </w:rPr>
        <w:t xml:space="preserve"> </w:t>
      </w:r>
      <w:r>
        <w:t>which</w:t>
      </w:r>
      <w:r>
        <w:rPr>
          <w:spacing w:val="-3"/>
        </w:rPr>
        <w:t xml:space="preserve"> </w:t>
      </w:r>
      <w:r>
        <w:t>contribute</w:t>
      </w:r>
      <w:r>
        <w:rPr>
          <w:spacing w:val="-6"/>
        </w:rPr>
        <w:t xml:space="preserve"> </w:t>
      </w:r>
      <w:r>
        <w:t>to</w:t>
      </w:r>
      <w:r>
        <w:rPr>
          <w:spacing w:val="-5"/>
        </w:rPr>
        <w:t xml:space="preserve"> </w:t>
      </w:r>
      <w:r>
        <w:t>the</w:t>
      </w:r>
      <w:r>
        <w:rPr>
          <w:spacing w:val="-5"/>
        </w:rPr>
        <w:t xml:space="preserve"> </w:t>
      </w:r>
      <w:r>
        <w:t>possibility</w:t>
      </w:r>
      <w:r>
        <w:rPr>
          <w:spacing w:val="-3"/>
        </w:rPr>
        <w:t xml:space="preserve"> </w:t>
      </w:r>
      <w:r>
        <w:t>that</w:t>
      </w:r>
      <w:r>
        <w:rPr>
          <w:spacing w:val="-6"/>
        </w:rPr>
        <w:t xml:space="preserve"> </w:t>
      </w:r>
      <w:r>
        <w:t>the</w:t>
      </w:r>
      <w:r>
        <w:rPr>
          <w:spacing w:val="-4"/>
        </w:rPr>
        <w:t xml:space="preserve"> </w:t>
      </w:r>
      <w:r>
        <w:t>predicted</w:t>
      </w:r>
      <w:r>
        <w:rPr>
          <w:spacing w:val="-4"/>
        </w:rPr>
        <w:t xml:space="preserve"> </w:t>
      </w:r>
      <w:r>
        <w:t>outcomes</w:t>
      </w:r>
      <w:r>
        <w:rPr>
          <w:spacing w:val="-4"/>
        </w:rPr>
        <w:t xml:space="preserve"> </w:t>
      </w:r>
      <w:r>
        <w:t>may</w:t>
      </w:r>
      <w:r>
        <w:rPr>
          <w:spacing w:val="-5"/>
        </w:rPr>
        <w:t xml:space="preserve"> </w:t>
      </w:r>
      <w:r>
        <w:t>not</w:t>
      </w:r>
      <w:r>
        <w:rPr>
          <w:spacing w:val="-4"/>
        </w:rPr>
        <w:t xml:space="preserve"> </w:t>
      </w:r>
      <w:r>
        <w:t>occur</w:t>
      </w:r>
      <w:r>
        <w:rPr>
          <w:spacing w:val="-5"/>
        </w:rPr>
        <w:t xml:space="preserve"> </w:t>
      </w:r>
      <w:r>
        <w:t>or</w:t>
      </w:r>
      <w:r>
        <w:rPr>
          <w:spacing w:val="-5"/>
        </w:rPr>
        <w:t xml:space="preserve"> </w:t>
      </w:r>
      <w:r>
        <w:t>may</w:t>
      </w:r>
      <w:r w:rsidR="00B318BD">
        <w:t xml:space="preserve"> </w:t>
      </w:r>
      <w:r w:rsidRPr="00B318BD" w:rsidR="00B318BD">
        <w:t>be delayed. The risks and uncertainties</w:t>
      </w:r>
      <w:r w:rsidR="00BF3581">
        <w:t xml:space="preserve"> that could cause the Company’s actual results to differ from the forward-looking statements</w:t>
      </w:r>
      <w:r w:rsidRPr="00B318BD" w:rsidR="00B318BD">
        <w:t>, many of which are beyond the Company</w:t>
      </w:r>
      <w:r w:rsidR="003314F9">
        <w:t>’</w:t>
      </w:r>
      <w:r w:rsidRPr="00B318BD" w:rsidR="00B318BD">
        <w:t xml:space="preserve">s control, include, but are not limited to: the inability to close the Offering; </w:t>
      </w:r>
      <w:r w:rsidR="00B375C0">
        <w:t xml:space="preserve">the </w:t>
      </w:r>
      <w:r w:rsidR="005D408E">
        <w:t>inability to obtain</w:t>
      </w:r>
      <w:r w:rsidR="00B375C0">
        <w:t xml:space="preserve"> </w:t>
      </w:r>
      <w:r w:rsidR="00A11AF5">
        <w:t>CSE</w:t>
      </w:r>
      <w:r w:rsidR="00B375C0">
        <w:t xml:space="preserve"> approval</w:t>
      </w:r>
      <w:r w:rsidR="00E50746">
        <w:t xml:space="preserve"> of the Offering</w:t>
      </w:r>
      <w:r w:rsidR="00B375C0">
        <w:t>;</w:t>
      </w:r>
      <w:r w:rsidR="00BF3581">
        <w:t xml:space="preserve"> losses from operations; technology risks;</w:t>
      </w:r>
      <w:r w:rsidR="00B375C0">
        <w:t xml:space="preserve"> </w:t>
      </w:r>
      <w:r w:rsidR="00EA4E56">
        <w:t xml:space="preserve">litigation risk; </w:t>
      </w:r>
      <w:r w:rsidR="00B375C0">
        <w:t>the inability to meet regulatory requirements</w:t>
      </w:r>
      <w:r w:rsidR="003314F9">
        <w:t>;</w:t>
      </w:r>
      <w:r w:rsidR="00B375C0">
        <w:t xml:space="preserve"> changing laws and regulations affecting the Company; </w:t>
      </w:r>
      <w:r w:rsidRPr="00B318BD" w:rsidR="00B318BD">
        <w:t xml:space="preserve">the volatility of the price of the Common Shares on the </w:t>
      </w:r>
      <w:r w:rsidR="00A11AF5">
        <w:t>CSE</w:t>
      </w:r>
      <w:r w:rsidRPr="00B318BD" w:rsidR="00B318BD">
        <w:t xml:space="preserve">; </w:t>
      </w:r>
      <w:r w:rsidR="00B375C0">
        <w:t xml:space="preserve">the inability to mitigate risk; </w:t>
      </w:r>
      <w:r w:rsidR="00BF3581">
        <w:t xml:space="preserve">uninsured risks; </w:t>
      </w:r>
      <w:r w:rsidRPr="00C16947" w:rsidR="00C16947">
        <w:t>the competitive landscape and the economy generally</w:t>
      </w:r>
      <w:r w:rsidR="00C16947">
        <w:t xml:space="preserve">; </w:t>
      </w:r>
      <w:r w:rsidRPr="00B318BD" w:rsidR="00B318BD">
        <w:t xml:space="preserve">the inability to secure additional financing; </w:t>
      </w:r>
      <w:r w:rsidR="00BF3581">
        <w:t xml:space="preserve">dependence on key personnel; </w:t>
      </w:r>
      <w:r w:rsidRPr="00B318BD" w:rsidR="00B318BD">
        <w:t xml:space="preserve">the Company’s intention not to pay dividends; </w:t>
      </w:r>
      <w:r w:rsidR="00B375C0">
        <w:t xml:space="preserve">force majeure events; </w:t>
      </w:r>
      <w:r w:rsidRPr="00B318BD" w:rsidR="00B318BD">
        <w:t>claims, lawsuits and other legal proceedings and challenges; conflicts of interest with directors and management;</w:t>
      </w:r>
      <w:r w:rsidR="002A69E8">
        <w:t xml:space="preserve"> the Company may be unable to continue as a going concern;</w:t>
      </w:r>
      <w:r w:rsidRPr="00B318BD" w:rsidR="00B318BD">
        <w:t xml:space="preserve"> and other relevant factors.</w:t>
      </w:r>
    </w:p>
    <w:p w:rsidR="004D7A2D" w:rsidP="00106D56" w14:paraId="6782AD3B" w14:textId="77777777">
      <w:pPr>
        <w:pStyle w:val="BodyText"/>
        <w:tabs>
          <w:tab w:val="left" w:pos="9540"/>
        </w:tabs>
        <w:jc w:val="both"/>
        <w:rPr>
          <w:sz w:val="21"/>
        </w:rPr>
      </w:pPr>
    </w:p>
    <w:p w:rsidR="004D7A2D" w:rsidP="00106D56" w14:paraId="1B3CA9E5" w14:textId="77777777">
      <w:pPr>
        <w:pStyle w:val="BodyText"/>
        <w:tabs>
          <w:tab w:val="left" w:pos="9540"/>
        </w:tabs>
        <w:jc w:val="both"/>
      </w:pPr>
      <w:r>
        <w:t>Further,</w:t>
      </w:r>
      <w:r>
        <w:rPr>
          <w:spacing w:val="-5"/>
        </w:rPr>
        <w:t xml:space="preserve"> </w:t>
      </w:r>
      <w:r>
        <w:t>any</w:t>
      </w:r>
      <w:r>
        <w:rPr>
          <w:spacing w:val="-4"/>
        </w:rPr>
        <w:t xml:space="preserve"> </w:t>
      </w:r>
      <w:r>
        <w:t>forward-looking</w:t>
      </w:r>
      <w:r>
        <w:rPr>
          <w:spacing w:val="-4"/>
        </w:rPr>
        <w:t xml:space="preserve"> </w:t>
      </w:r>
      <w:r>
        <w:t>statement</w:t>
      </w:r>
      <w:r>
        <w:rPr>
          <w:spacing w:val="-5"/>
        </w:rPr>
        <w:t xml:space="preserve"> </w:t>
      </w:r>
      <w:r>
        <w:t>speaks</w:t>
      </w:r>
      <w:r>
        <w:rPr>
          <w:spacing w:val="-4"/>
        </w:rPr>
        <w:t xml:space="preserve"> </w:t>
      </w:r>
      <w:r>
        <w:t>only</w:t>
      </w:r>
      <w:r>
        <w:rPr>
          <w:spacing w:val="-4"/>
        </w:rPr>
        <w:t xml:space="preserve"> </w:t>
      </w:r>
      <w:r>
        <w:t>as</w:t>
      </w:r>
      <w:r>
        <w:rPr>
          <w:spacing w:val="-3"/>
        </w:rPr>
        <w:t xml:space="preserve"> </w:t>
      </w:r>
      <w:r>
        <w:t>of</w:t>
      </w:r>
      <w:r>
        <w:rPr>
          <w:spacing w:val="-6"/>
        </w:rPr>
        <w:t xml:space="preserve"> </w:t>
      </w:r>
      <w:r>
        <w:t>the</w:t>
      </w:r>
      <w:r>
        <w:rPr>
          <w:spacing w:val="-5"/>
        </w:rPr>
        <w:t xml:space="preserve"> </w:t>
      </w:r>
      <w:r>
        <w:t>date</w:t>
      </w:r>
      <w:r>
        <w:rPr>
          <w:spacing w:val="-3"/>
        </w:rPr>
        <w:t xml:space="preserve"> </w:t>
      </w:r>
      <w:r>
        <w:t>on</w:t>
      </w:r>
      <w:r>
        <w:rPr>
          <w:spacing w:val="-5"/>
        </w:rPr>
        <w:t xml:space="preserve"> </w:t>
      </w:r>
      <w:r>
        <w:t>which</w:t>
      </w:r>
      <w:r>
        <w:rPr>
          <w:spacing w:val="-6"/>
        </w:rPr>
        <w:t xml:space="preserve"> </w:t>
      </w:r>
      <w:r>
        <w:t>such</w:t>
      </w:r>
      <w:r>
        <w:rPr>
          <w:spacing w:val="-3"/>
        </w:rPr>
        <w:t xml:space="preserve"> </w:t>
      </w:r>
      <w:r>
        <w:t>statement</w:t>
      </w:r>
      <w:r>
        <w:rPr>
          <w:spacing w:val="-3"/>
        </w:rPr>
        <w:t xml:space="preserve"> </w:t>
      </w:r>
      <w:r>
        <w:t>is</w:t>
      </w:r>
      <w:r>
        <w:rPr>
          <w:spacing w:val="-4"/>
        </w:rPr>
        <w:t xml:space="preserve"> </w:t>
      </w:r>
      <w:r>
        <w:t>made,</w:t>
      </w:r>
      <w:r>
        <w:rPr>
          <w:spacing w:val="-3"/>
        </w:rPr>
        <w:t xml:space="preserve"> </w:t>
      </w:r>
      <w:r>
        <w:t>and, except as required by applicable law, the Company undertakes no obligation to update any forward- looking</w:t>
      </w:r>
      <w:r>
        <w:rPr>
          <w:spacing w:val="-4"/>
        </w:rPr>
        <w:t xml:space="preserve"> </w:t>
      </w:r>
      <w:r>
        <w:t>statement</w:t>
      </w:r>
      <w:r>
        <w:rPr>
          <w:spacing w:val="-2"/>
        </w:rPr>
        <w:t xml:space="preserve"> </w:t>
      </w:r>
      <w:r>
        <w:t>to</w:t>
      </w:r>
      <w:r>
        <w:rPr>
          <w:spacing w:val="-4"/>
        </w:rPr>
        <w:t xml:space="preserve"> </w:t>
      </w:r>
      <w:r>
        <w:t>reflect</w:t>
      </w:r>
      <w:r>
        <w:rPr>
          <w:spacing w:val="-2"/>
        </w:rPr>
        <w:t xml:space="preserve"> </w:t>
      </w:r>
      <w:r>
        <w:t>events</w:t>
      </w:r>
      <w:r>
        <w:rPr>
          <w:spacing w:val="-3"/>
        </w:rPr>
        <w:t xml:space="preserve"> </w:t>
      </w:r>
      <w:r>
        <w:t>or</w:t>
      </w:r>
      <w:r>
        <w:rPr>
          <w:spacing w:val="-4"/>
        </w:rPr>
        <w:t xml:space="preserve"> </w:t>
      </w:r>
      <w:r>
        <w:t>circumstances</w:t>
      </w:r>
      <w:r>
        <w:rPr>
          <w:spacing w:val="-3"/>
        </w:rPr>
        <w:t xml:space="preserve"> </w:t>
      </w:r>
      <w:r>
        <w:t>after</w:t>
      </w:r>
      <w:r>
        <w:rPr>
          <w:spacing w:val="-3"/>
        </w:rPr>
        <w:t xml:space="preserve"> </w:t>
      </w:r>
      <w:r>
        <w:t>the</w:t>
      </w:r>
      <w:r>
        <w:rPr>
          <w:spacing w:val="-3"/>
        </w:rPr>
        <w:t xml:space="preserve"> </w:t>
      </w:r>
      <w:r>
        <w:t>date</w:t>
      </w:r>
      <w:r>
        <w:rPr>
          <w:spacing w:val="-2"/>
        </w:rPr>
        <w:t xml:space="preserve"> </w:t>
      </w:r>
      <w:r>
        <w:t>on</w:t>
      </w:r>
      <w:r>
        <w:rPr>
          <w:spacing w:val="-2"/>
        </w:rPr>
        <w:t xml:space="preserve"> </w:t>
      </w:r>
      <w:r>
        <w:t>which</w:t>
      </w:r>
      <w:r>
        <w:rPr>
          <w:spacing w:val="-4"/>
        </w:rPr>
        <w:t xml:space="preserve"> </w:t>
      </w:r>
      <w:r>
        <w:t>such</w:t>
      </w:r>
      <w:r>
        <w:rPr>
          <w:spacing w:val="-4"/>
        </w:rPr>
        <w:t xml:space="preserve"> </w:t>
      </w:r>
      <w:r>
        <w:t>statement</w:t>
      </w:r>
      <w:r>
        <w:rPr>
          <w:spacing w:val="-1"/>
        </w:rPr>
        <w:t xml:space="preserve"> </w:t>
      </w:r>
      <w:r>
        <w:t>is</w:t>
      </w:r>
      <w:r>
        <w:rPr>
          <w:spacing w:val="-3"/>
        </w:rPr>
        <w:t xml:space="preserve"> </w:t>
      </w:r>
      <w:r>
        <w:t>made</w:t>
      </w:r>
      <w:r>
        <w:rPr>
          <w:spacing w:val="-2"/>
        </w:rPr>
        <w:t xml:space="preserve"> </w:t>
      </w:r>
      <w:r>
        <w:t>or</w:t>
      </w:r>
      <w:r>
        <w:rPr>
          <w:spacing w:val="-4"/>
        </w:rPr>
        <w:t xml:space="preserve"> </w:t>
      </w:r>
      <w:r>
        <w:t>to reflect the occurrence of unanticipated events. New factors emerge from time to time, and it is not possible for management to predict all such factors and to assess in advance the impact of each such factor</w:t>
      </w:r>
      <w:r>
        <w:rPr>
          <w:spacing w:val="-2"/>
        </w:rPr>
        <w:t xml:space="preserve"> </w:t>
      </w:r>
      <w:r>
        <w:t>on</w:t>
      </w:r>
      <w:r>
        <w:rPr>
          <w:spacing w:val="-1"/>
        </w:rPr>
        <w:t xml:space="preserve"> </w:t>
      </w:r>
      <w:r>
        <w:t>the Company’s</w:t>
      </w:r>
      <w:r>
        <w:rPr>
          <w:spacing w:val="-1"/>
        </w:rPr>
        <w:t xml:space="preserve"> </w:t>
      </w:r>
      <w:r>
        <w:t>business or</w:t>
      </w:r>
      <w:r>
        <w:rPr>
          <w:spacing w:val="-2"/>
        </w:rPr>
        <w:t xml:space="preserve"> </w:t>
      </w:r>
      <w:r>
        <w:t>the extent</w:t>
      </w:r>
      <w:r>
        <w:rPr>
          <w:spacing w:val="-3"/>
        </w:rPr>
        <w:t xml:space="preserve"> </w:t>
      </w:r>
      <w:r>
        <w:t>to which</w:t>
      </w:r>
      <w:r>
        <w:rPr>
          <w:spacing w:val="-2"/>
        </w:rPr>
        <w:t xml:space="preserve"> </w:t>
      </w:r>
      <w:r>
        <w:t>any factor,</w:t>
      </w:r>
      <w:r>
        <w:rPr>
          <w:spacing w:val="-1"/>
        </w:rPr>
        <w:t xml:space="preserve"> </w:t>
      </w:r>
      <w:r>
        <w:t>or</w:t>
      </w:r>
      <w:r>
        <w:rPr>
          <w:spacing w:val="-1"/>
        </w:rPr>
        <w:t xml:space="preserve"> </w:t>
      </w:r>
      <w:r>
        <w:t>combination</w:t>
      </w:r>
      <w:r>
        <w:rPr>
          <w:spacing w:val="-1"/>
        </w:rPr>
        <w:t xml:space="preserve"> </w:t>
      </w:r>
      <w:r>
        <w:t>of</w:t>
      </w:r>
      <w:r>
        <w:rPr>
          <w:spacing w:val="-1"/>
        </w:rPr>
        <w:t xml:space="preserve"> </w:t>
      </w:r>
      <w:r>
        <w:t>factors,</w:t>
      </w:r>
      <w:r>
        <w:rPr>
          <w:spacing w:val="-1"/>
        </w:rPr>
        <w:t xml:space="preserve"> </w:t>
      </w:r>
      <w:r>
        <w:t>may</w:t>
      </w:r>
      <w:r>
        <w:rPr>
          <w:spacing w:val="-4"/>
        </w:rPr>
        <w:t xml:space="preserve"> </w:t>
      </w:r>
      <w:r>
        <w:t>cause actual results to differ materially from</w:t>
      </w:r>
      <w:r>
        <w:rPr>
          <w:spacing w:val="-1"/>
        </w:rPr>
        <w:t xml:space="preserve"> </w:t>
      </w:r>
      <w:r>
        <w:t>those</w:t>
      </w:r>
      <w:r>
        <w:rPr>
          <w:spacing w:val="-1"/>
        </w:rPr>
        <w:t xml:space="preserve"> </w:t>
      </w:r>
      <w:r>
        <w:t>contained</w:t>
      </w:r>
      <w:r>
        <w:rPr>
          <w:spacing w:val="-1"/>
        </w:rPr>
        <w:t xml:space="preserve"> </w:t>
      </w:r>
      <w:r>
        <w:t>in</w:t>
      </w:r>
      <w:r>
        <w:rPr>
          <w:spacing w:val="-1"/>
        </w:rPr>
        <w:t xml:space="preserve"> </w:t>
      </w:r>
      <w:r>
        <w:t>any forward-looking statement.</w:t>
      </w:r>
      <w:r>
        <w:rPr>
          <w:spacing w:val="-1"/>
        </w:rPr>
        <w:t xml:space="preserve"> </w:t>
      </w:r>
      <w:r>
        <w:t>There can be no assurance</w:t>
      </w:r>
      <w:r>
        <w:rPr>
          <w:spacing w:val="-1"/>
        </w:rPr>
        <w:t xml:space="preserve"> </w:t>
      </w:r>
      <w:r>
        <w:t>that</w:t>
      </w:r>
      <w:r>
        <w:rPr>
          <w:spacing w:val="-1"/>
        </w:rPr>
        <w:t xml:space="preserve"> </w:t>
      </w:r>
      <w:r>
        <w:t>such information</w:t>
      </w:r>
      <w:r>
        <w:rPr>
          <w:spacing w:val="-1"/>
        </w:rPr>
        <w:t xml:space="preserve"> </w:t>
      </w:r>
      <w:r>
        <w:t>or statements will</w:t>
      </w:r>
      <w:r>
        <w:rPr>
          <w:spacing w:val="-2"/>
        </w:rPr>
        <w:t xml:space="preserve"> </w:t>
      </w:r>
      <w:r>
        <w:t>prove</w:t>
      </w:r>
      <w:r>
        <w:rPr>
          <w:spacing w:val="-2"/>
        </w:rPr>
        <w:t xml:space="preserve"> </w:t>
      </w:r>
      <w:r>
        <w:t>to</w:t>
      </w:r>
      <w:r>
        <w:rPr>
          <w:spacing w:val="-2"/>
        </w:rPr>
        <w:t xml:space="preserve"> </w:t>
      </w:r>
      <w:r>
        <w:t>be</w:t>
      </w:r>
      <w:r>
        <w:rPr>
          <w:spacing w:val="-2"/>
        </w:rPr>
        <w:t xml:space="preserve"> </w:t>
      </w:r>
      <w:r>
        <w:t>accurate, and accordingly, readers</w:t>
      </w:r>
      <w:r>
        <w:rPr>
          <w:spacing w:val="-2"/>
        </w:rPr>
        <w:t xml:space="preserve"> </w:t>
      </w:r>
      <w:r>
        <w:t>should not place undue reliance on forward-looking statements.</w:t>
      </w:r>
    </w:p>
    <w:p w:rsidR="004D7A2D" w:rsidP="00106D56" w14:paraId="014E7A88" w14:textId="77777777">
      <w:pPr>
        <w:pStyle w:val="BodyText"/>
        <w:tabs>
          <w:tab w:val="left" w:pos="9540"/>
        </w:tabs>
        <w:spacing w:before="9"/>
        <w:jc w:val="both"/>
      </w:pPr>
    </w:p>
    <w:p w:rsidR="004D7A2D" w:rsidP="00106D56" w14:paraId="3ABF59B2" w14:textId="77777777">
      <w:pPr>
        <w:tabs>
          <w:tab w:val="left" w:pos="9540"/>
        </w:tabs>
        <w:spacing w:before="1"/>
        <w:jc w:val="both"/>
        <w:rPr>
          <w:i/>
          <w:sz w:val="20"/>
        </w:rPr>
      </w:pPr>
      <w:r>
        <w:rPr>
          <w:i/>
          <w:sz w:val="20"/>
        </w:rPr>
        <w:t>All</w:t>
      </w:r>
      <w:r>
        <w:rPr>
          <w:i/>
          <w:spacing w:val="-3"/>
          <w:sz w:val="20"/>
        </w:rPr>
        <w:t xml:space="preserve"> </w:t>
      </w:r>
      <w:r>
        <w:rPr>
          <w:i/>
          <w:sz w:val="20"/>
        </w:rPr>
        <w:t>of</w:t>
      </w:r>
      <w:r>
        <w:rPr>
          <w:i/>
          <w:spacing w:val="-1"/>
          <w:sz w:val="20"/>
        </w:rPr>
        <w:t xml:space="preserve"> </w:t>
      </w:r>
      <w:r>
        <w:rPr>
          <w:i/>
          <w:sz w:val="20"/>
        </w:rPr>
        <w:t>the forward-looking</w:t>
      </w:r>
      <w:r>
        <w:rPr>
          <w:i/>
          <w:spacing w:val="-3"/>
          <w:sz w:val="20"/>
        </w:rPr>
        <w:t xml:space="preserve"> </w:t>
      </w:r>
      <w:r>
        <w:rPr>
          <w:i/>
          <w:sz w:val="20"/>
        </w:rPr>
        <w:t>statements</w:t>
      </w:r>
      <w:r>
        <w:rPr>
          <w:i/>
          <w:spacing w:val="-1"/>
          <w:sz w:val="20"/>
        </w:rPr>
        <w:t xml:space="preserve"> </w:t>
      </w:r>
      <w:r>
        <w:rPr>
          <w:i/>
          <w:sz w:val="20"/>
        </w:rPr>
        <w:t>contained in this Offering Document are expressly qualified by</w:t>
      </w:r>
      <w:r>
        <w:rPr>
          <w:i/>
          <w:spacing w:val="-1"/>
          <w:sz w:val="20"/>
        </w:rPr>
        <w:t xml:space="preserve"> </w:t>
      </w:r>
      <w:r>
        <w:rPr>
          <w:i/>
          <w:sz w:val="20"/>
        </w:rPr>
        <w:t>the foregoing cautionary statements. Prospective investors should read this entire Offering Document and consult</w:t>
      </w:r>
      <w:r>
        <w:rPr>
          <w:i/>
          <w:spacing w:val="-5"/>
          <w:sz w:val="20"/>
        </w:rPr>
        <w:t xml:space="preserve"> </w:t>
      </w:r>
      <w:r>
        <w:rPr>
          <w:i/>
          <w:sz w:val="20"/>
        </w:rPr>
        <w:t>their</w:t>
      </w:r>
      <w:r>
        <w:rPr>
          <w:i/>
          <w:spacing w:val="-4"/>
          <w:sz w:val="20"/>
        </w:rPr>
        <w:t xml:space="preserve"> </w:t>
      </w:r>
      <w:r>
        <w:rPr>
          <w:i/>
          <w:sz w:val="20"/>
        </w:rPr>
        <w:t>own</w:t>
      </w:r>
      <w:r>
        <w:rPr>
          <w:i/>
          <w:spacing w:val="-3"/>
          <w:sz w:val="20"/>
        </w:rPr>
        <w:t xml:space="preserve"> </w:t>
      </w:r>
      <w:r>
        <w:rPr>
          <w:i/>
          <w:sz w:val="20"/>
        </w:rPr>
        <w:t>professional</w:t>
      </w:r>
      <w:r>
        <w:rPr>
          <w:i/>
          <w:spacing w:val="-3"/>
          <w:sz w:val="20"/>
        </w:rPr>
        <w:t xml:space="preserve"> </w:t>
      </w:r>
      <w:r>
        <w:rPr>
          <w:i/>
          <w:sz w:val="20"/>
        </w:rPr>
        <w:t>advisors</w:t>
      </w:r>
      <w:r>
        <w:rPr>
          <w:i/>
          <w:spacing w:val="-3"/>
          <w:sz w:val="20"/>
        </w:rPr>
        <w:t xml:space="preserve"> </w:t>
      </w:r>
      <w:r>
        <w:rPr>
          <w:i/>
          <w:sz w:val="20"/>
        </w:rPr>
        <w:t>to</w:t>
      </w:r>
      <w:r>
        <w:rPr>
          <w:i/>
          <w:spacing w:val="-3"/>
          <w:sz w:val="20"/>
        </w:rPr>
        <w:t xml:space="preserve"> </w:t>
      </w:r>
      <w:r>
        <w:rPr>
          <w:i/>
          <w:sz w:val="20"/>
        </w:rPr>
        <w:t>assess</w:t>
      </w:r>
      <w:r>
        <w:rPr>
          <w:i/>
          <w:spacing w:val="-1"/>
          <w:sz w:val="20"/>
        </w:rPr>
        <w:t xml:space="preserve"> </w:t>
      </w:r>
      <w:r>
        <w:rPr>
          <w:i/>
          <w:sz w:val="20"/>
        </w:rPr>
        <w:t>the</w:t>
      </w:r>
      <w:r>
        <w:rPr>
          <w:i/>
          <w:spacing w:val="-3"/>
          <w:sz w:val="20"/>
        </w:rPr>
        <w:t xml:space="preserve"> </w:t>
      </w:r>
      <w:r>
        <w:rPr>
          <w:i/>
          <w:sz w:val="20"/>
        </w:rPr>
        <w:t>income</w:t>
      </w:r>
      <w:r>
        <w:rPr>
          <w:i/>
          <w:spacing w:val="-5"/>
          <w:sz w:val="20"/>
        </w:rPr>
        <w:t xml:space="preserve"> </w:t>
      </w:r>
      <w:r>
        <w:rPr>
          <w:i/>
          <w:sz w:val="20"/>
        </w:rPr>
        <w:t>tax,</w:t>
      </w:r>
      <w:r>
        <w:rPr>
          <w:i/>
          <w:spacing w:val="-5"/>
          <w:sz w:val="20"/>
        </w:rPr>
        <w:t xml:space="preserve"> </w:t>
      </w:r>
      <w:r>
        <w:rPr>
          <w:i/>
          <w:sz w:val="20"/>
        </w:rPr>
        <w:t>legal,</w:t>
      </w:r>
      <w:r>
        <w:rPr>
          <w:i/>
          <w:spacing w:val="-5"/>
          <w:sz w:val="20"/>
        </w:rPr>
        <w:t xml:space="preserve"> </w:t>
      </w:r>
      <w:r>
        <w:rPr>
          <w:i/>
          <w:sz w:val="20"/>
        </w:rPr>
        <w:t>risk</w:t>
      </w:r>
      <w:r>
        <w:rPr>
          <w:i/>
          <w:spacing w:val="-3"/>
          <w:sz w:val="20"/>
        </w:rPr>
        <w:t xml:space="preserve"> </w:t>
      </w:r>
      <w:r>
        <w:rPr>
          <w:i/>
          <w:sz w:val="20"/>
        </w:rPr>
        <w:t>factors</w:t>
      </w:r>
      <w:r>
        <w:rPr>
          <w:i/>
          <w:spacing w:val="-3"/>
          <w:sz w:val="20"/>
        </w:rPr>
        <w:t xml:space="preserve"> </w:t>
      </w:r>
      <w:r>
        <w:rPr>
          <w:i/>
          <w:sz w:val="20"/>
        </w:rPr>
        <w:t>and</w:t>
      </w:r>
      <w:r>
        <w:rPr>
          <w:i/>
          <w:spacing w:val="-3"/>
          <w:sz w:val="20"/>
        </w:rPr>
        <w:t xml:space="preserve"> </w:t>
      </w:r>
      <w:r>
        <w:rPr>
          <w:i/>
          <w:sz w:val="20"/>
        </w:rPr>
        <w:t>other</w:t>
      </w:r>
      <w:r>
        <w:rPr>
          <w:i/>
          <w:spacing w:val="-6"/>
          <w:sz w:val="20"/>
        </w:rPr>
        <w:t xml:space="preserve"> </w:t>
      </w:r>
      <w:r>
        <w:rPr>
          <w:i/>
          <w:sz w:val="20"/>
        </w:rPr>
        <w:t>aspects</w:t>
      </w:r>
      <w:r>
        <w:rPr>
          <w:i/>
          <w:spacing w:val="-4"/>
          <w:sz w:val="20"/>
        </w:rPr>
        <w:t xml:space="preserve"> </w:t>
      </w:r>
      <w:r>
        <w:rPr>
          <w:i/>
          <w:sz w:val="20"/>
        </w:rPr>
        <w:t>of their investment.</w:t>
      </w:r>
    </w:p>
    <w:p w:rsidR="004D7A2D" w:rsidP="00106D56" w14:paraId="59E0D489" w14:textId="77777777">
      <w:pPr>
        <w:pStyle w:val="BodyText"/>
        <w:tabs>
          <w:tab w:val="left" w:pos="9540"/>
        </w:tabs>
        <w:spacing w:before="1"/>
        <w:rPr>
          <w:i/>
          <w:sz w:val="21"/>
        </w:rPr>
      </w:pPr>
    </w:p>
    <w:p w:rsidR="004D7A2D" w:rsidP="00106D56" w14:paraId="21466D07" w14:textId="77777777">
      <w:pPr>
        <w:pStyle w:val="Heading1"/>
        <w:tabs>
          <w:tab w:val="left" w:pos="9540"/>
        </w:tabs>
        <w:ind w:left="0" w:right="0"/>
      </w:pPr>
      <w:bookmarkStart w:id="0" w:name="Untitled"/>
      <w:bookmarkEnd w:id="0"/>
      <w:r>
        <w:t>SUMMARY</w:t>
      </w:r>
      <w:r>
        <w:rPr>
          <w:spacing w:val="-10"/>
        </w:rPr>
        <w:t xml:space="preserve"> </w:t>
      </w:r>
      <w:r>
        <w:t>DESCRIPTION</w:t>
      </w:r>
      <w:r>
        <w:rPr>
          <w:spacing w:val="-7"/>
        </w:rPr>
        <w:t xml:space="preserve"> </w:t>
      </w:r>
      <w:r>
        <w:t>OF</w:t>
      </w:r>
      <w:r>
        <w:rPr>
          <w:spacing w:val="-9"/>
        </w:rPr>
        <w:t xml:space="preserve"> </w:t>
      </w:r>
      <w:r>
        <w:rPr>
          <w:spacing w:val="-2"/>
        </w:rPr>
        <w:t>BUSINESS</w:t>
      </w:r>
    </w:p>
    <w:p w:rsidR="004D7A2D" w:rsidP="00106D56" w14:paraId="25D1768B" w14:textId="77777777">
      <w:pPr>
        <w:pStyle w:val="BodyText"/>
        <w:tabs>
          <w:tab w:val="left" w:pos="9540"/>
        </w:tabs>
        <w:spacing w:before="8"/>
        <w:rPr>
          <w:b/>
        </w:rPr>
      </w:pPr>
    </w:p>
    <w:p w:rsidR="004D7A2D" w:rsidRPr="003814D2" w:rsidP="00106D56" w14:paraId="6FBD7388" w14:textId="1B75A3F3">
      <w:pPr>
        <w:tabs>
          <w:tab w:val="left" w:pos="9540"/>
        </w:tabs>
        <w:spacing w:before="1"/>
        <w:jc w:val="both"/>
        <w:rPr>
          <w:bCs/>
          <w:sz w:val="20"/>
        </w:rPr>
      </w:pPr>
      <w:r>
        <w:rPr>
          <w:b/>
          <w:sz w:val="20"/>
        </w:rPr>
        <w:t>What</w:t>
      </w:r>
      <w:r>
        <w:rPr>
          <w:b/>
          <w:spacing w:val="-5"/>
          <w:sz w:val="20"/>
        </w:rPr>
        <w:t xml:space="preserve"> </w:t>
      </w:r>
      <w:r>
        <w:rPr>
          <w:b/>
          <w:sz w:val="20"/>
        </w:rPr>
        <w:t>is</w:t>
      </w:r>
      <w:r>
        <w:rPr>
          <w:b/>
          <w:spacing w:val="-4"/>
          <w:sz w:val="20"/>
        </w:rPr>
        <w:t xml:space="preserve"> </w:t>
      </w:r>
      <w:r>
        <w:rPr>
          <w:b/>
          <w:sz w:val="20"/>
        </w:rPr>
        <w:t>our</w:t>
      </w:r>
      <w:r>
        <w:rPr>
          <w:b/>
          <w:spacing w:val="-4"/>
          <w:sz w:val="20"/>
        </w:rPr>
        <w:t xml:space="preserve"> </w:t>
      </w:r>
      <w:r>
        <w:rPr>
          <w:b/>
          <w:spacing w:val="-2"/>
          <w:sz w:val="20"/>
        </w:rPr>
        <w:t>business</w:t>
      </w:r>
      <w:r w:rsidR="005E1036">
        <w:rPr>
          <w:b/>
          <w:spacing w:val="-2"/>
          <w:sz w:val="20"/>
        </w:rPr>
        <w:t>?</w:t>
      </w:r>
    </w:p>
    <w:p w:rsidR="004D7A2D" w:rsidRPr="0055648E" w:rsidP="00106D56" w14:paraId="52061BB8" w14:textId="77777777">
      <w:pPr>
        <w:pStyle w:val="BodyText"/>
        <w:tabs>
          <w:tab w:val="left" w:pos="9540"/>
        </w:tabs>
        <w:jc w:val="both"/>
      </w:pPr>
    </w:p>
    <w:p w:rsidR="0055648E" w:rsidP="00106D56" w14:paraId="02E629C1" w14:textId="6D9A9E1A">
      <w:pPr>
        <w:pStyle w:val="BodyText"/>
        <w:tabs>
          <w:tab w:val="left" w:pos="9540"/>
        </w:tabs>
        <w:jc w:val="both"/>
      </w:pPr>
      <w:r>
        <w:t>Star Copper</w:t>
      </w:r>
      <w:r w:rsidRPr="0055648E">
        <w:t xml:space="preserve"> is a </w:t>
      </w:r>
      <w:r w:rsidRPr="005D7BD2" w:rsidR="005D7BD2">
        <w:t>is a mineral exploration company focused on advancing Canadian mining projects</w:t>
      </w:r>
      <w:r w:rsidRPr="0055648E">
        <w:t>.</w:t>
      </w:r>
      <w:r>
        <w:t xml:space="preserve"> </w:t>
      </w:r>
      <w:r w:rsidRPr="0055648E">
        <w:t>The Company</w:t>
      </w:r>
      <w:r w:rsidR="005D7BD2">
        <w:t>’s current focus is the advancement of its flagship Star Project (the “</w:t>
      </w:r>
      <w:r w:rsidRPr="005D7BD2" w:rsidR="005D7BD2">
        <w:rPr>
          <w:b/>
          <w:bCs/>
        </w:rPr>
        <w:t>Star Project</w:t>
      </w:r>
      <w:r w:rsidR="005D7BD2">
        <w:t>”), a</w:t>
      </w:r>
      <w:r w:rsidRPr="005D7BD2" w:rsidR="005D7BD2">
        <w:t>n intermediate calc-alkaline to alkalic porphyry deposit</w:t>
      </w:r>
      <w:r w:rsidR="005D7BD2">
        <w:t xml:space="preserve"> located</w:t>
      </w:r>
      <w:r w:rsidRPr="005D7BD2" w:rsidR="005D7BD2">
        <w:t xml:space="preserve"> within the well-known Golden Triangle and Golden Horseshoe regions of British Colombia in a</w:t>
      </w:r>
      <w:r w:rsidR="005D7BD2">
        <w:t xml:space="preserve"> historically </w:t>
      </w:r>
      <w:r w:rsidRPr="005D7BD2" w:rsidR="005D7BD2">
        <w:t>prolific area for porphyry copper-gold projects.</w:t>
      </w:r>
      <w:r w:rsidR="005D7BD2">
        <w:t xml:space="preserve"> In addition, the Company has an option to acquire a 60% interest in and to the Indata Project and owns 100% of its Quesnel Project. The Indata Project is s</w:t>
      </w:r>
      <w:r w:rsidRPr="005D7BD2" w:rsidR="005D7BD2">
        <w:t>ituated in north-central British Columbia on the east side of Albert Lake, a 2-hour drive from the community of Fort St. James</w:t>
      </w:r>
      <w:r w:rsidR="005D7BD2">
        <w:t>.</w:t>
      </w:r>
      <w:r w:rsidRPr="005D7BD2" w:rsidR="005D7BD2">
        <w:t xml:space="preserve"> </w:t>
      </w:r>
      <w:r w:rsidR="005D7BD2">
        <w:t>T</w:t>
      </w:r>
      <w:r w:rsidRPr="005D7BD2" w:rsidR="005D7BD2">
        <w:t>he Indata Property comprises 16 mineral claims totaling 3,189 hectares.</w:t>
      </w:r>
      <w:r w:rsidR="005D7BD2">
        <w:t xml:space="preserve"> </w:t>
      </w:r>
      <w:r w:rsidR="00D666CC">
        <w:t>The Quesnel Project is located</w:t>
      </w:r>
      <w:r w:rsidRPr="00D666CC" w:rsidR="00D666CC">
        <w:t xml:space="preserve"> in the middle of the Quesnel Trough, host to a number of alkalic copper-gold porphyry deposits running northwest across western British Columbia</w:t>
      </w:r>
      <w:r w:rsidRPr="0055648E">
        <w:t>.</w:t>
      </w:r>
    </w:p>
    <w:p w:rsidR="0055648E" w:rsidP="00106D56" w14:paraId="09CD2B2C" w14:textId="77777777">
      <w:pPr>
        <w:pStyle w:val="BodyText"/>
        <w:tabs>
          <w:tab w:val="left" w:pos="9540"/>
        </w:tabs>
        <w:jc w:val="both"/>
      </w:pPr>
    </w:p>
    <w:p w:rsidR="004D7A2D" w:rsidRPr="00A80FE8" w:rsidP="00106D56" w14:paraId="2EECE7D2" w14:textId="64125607">
      <w:pPr>
        <w:tabs>
          <w:tab w:val="left" w:pos="9540"/>
        </w:tabs>
        <w:jc w:val="both"/>
        <w:rPr>
          <w:b/>
          <w:sz w:val="20"/>
          <w:szCs w:val="20"/>
        </w:rPr>
      </w:pPr>
      <w:r w:rsidRPr="00A80FE8">
        <w:rPr>
          <w:b/>
          <w:sz w:val="20"/>
          <w:szCs w:val="20"/>
        </w:rPr>
        <w:t>Recent</w:t>
      </w:r>
      <w:r w:rsidRPr="00A80FE8">
        <w:rPr>
          <w:b/>
          <w:spacing w:val="-7"/>
          <w:sz w:val="20"/>
          <w:szCs w:val="20"/>
        </w:rPr>
        <w:t xml:space="preserve"> </w:t>
      </w:r>
      <w:r w:rsidRPr="00A80FE8">
        <w:rPr>
          <w:b/>
          <w:spacing w:val="-2"/>
          <w:sz w:val="20"/>
          <w:szCs w:val="20"/>
        </w:rPr>
        <w:t>Developments</w:t>
      </w:r>
    </w:p>
    <w:p w:rsidR="004D7A2D" w:rsidRPr="00A80FE8" w:rsidP="00106D56" w14:paraId="51863795" w14:textId="77777777">
      <w:pPr>
        <w:pStyle w:val="BodyText"/>
        <w:tabs>
          <w:tab w:val="left" w:pos="9540"/>
        </w:tabs>
        <w:jc w:val="both"/>
        <w:rPr>
          <w:b/>
        </w:rPr>
      </w:pPr>
    </w:p>
    <w:p w:rsidR="0061576D" w:rsidP="006B578A" w14:paraId="18529BA4" w14:textId="7B8E15BD">
      <w:pPr>
        <w:pStyle w:val="BodyText"/>
        <w:tabs>
          <w:tab w:val="left" w:pos="9540"/>
        </w:tabs>
        <w:spacing w:line="250" w:lineRule="auto"/>
        <w:jc w:val="both"/>
      </w:pPr>
      <w:r>
        <w:t>On December 12, 2024, the Company announced the complet</w:t>
      </w:r>
      <w:r w:rsidR="002726BA">
        <w:t>ion of</w:t>
      </w:r>
      <w:r>
        <w:t xml:space="preserve"> a non-brokered private placement for aggregate gross proceeds of $404,999, pursuant to which it issued </w:t>
      </w:r>
      <w:r w:rsidRPr="00761F8F">
        <w:t>an aggregate of 4,499,999 units at a price of nine cents per unit</w:t>
      </w:r>
      <w:r>
        <w:t xml:space="preserve">, </w:t>
      </w:r>
      <w:r w:rsidRPr="00761F8F">
        <w:t xml:space="preserve">with each unit comprising one </w:t>
      </w:r>
      <w:r w:rsidR="0011528C">
        <w:t>C</w:t>
      </w:r>
      <w:r w:rsidRPr="00761F8F">
        <w:t xml:space="preserve">ommon </w:t>
      </w:r>
      <w:r w:rsidR="0011528C">
        <w:t>S</w:t>
      </w:r>
      <w:r w:rsidRPr="00761F8F">
        <w:t xml:space="preserve">hare and one </w:t>
      </w:r>
      <w:r w:rsidR="0011528C">
        <w:t>C</w:t>
      </w:r>
      <w:r w:rsidRPr="00761F8F">
        <w:t xml:space="preserve">ommon </w:t>
      </w:r>
      <w:r w:rsidR="0011528C">
        <w:t>S</w:t>
      </w:r>
      <w:r w:rsidRPr="00761F8F">
        <w:t>hare purchase warrant</w:t>
      </w:r>
      <w:r>
        <w:t>,</w:t>
      </w:r>
      <w:r w:rsidRPr="00761F8F">
        <w:t xml:space="preserve"> </w:t>
      </w:r>
      <w:r>
        <w:t>e</w:t>
      </w:r>
      <w:r w:rsidRPr="00761F8F">
        <w:t xml:space="preserve">ach exercisable to acquire one </w:t>
      </w:r>
      <w:r w:rsidR="0011528C">
        <w:t>C</w:t>
      </w:r>
      <w:r w:rsidRPr="00761F8F" w:rsidR="0011528C">
        <w:t xml:space="preserve">ommon </w:t>
      </w:r>
      <w:r w:rsidR="0011528C">
        <w:t>S</w:t>
      </w:r>
      <w:r w:rsidRPr="00761F8F" w:rsidR="0011528C">
        <w:t xml:space="preserve">hare </w:t>
      </w:r>
      <w:r w:rsidRPr="00761F8F">
        <w:t xml:space="preserve">at a price of </w:t>
      </w:r>
      <w:r w:rsidR="002726BA">
        <w:t>$0.</w:t>
      </w:r>
      <w:r w:rsidRPr="00761F8F">
        <w:t>12 per share for a period of 24 months.</w:t>
      </w:r>
    </w:p>
    <w:p w:rsidR="00761F8F" w:rsidP="006B578A" w14:paraId="0E40970B" w14:textId="77777777">
      <w:pPr>
        <w:pStyle w:val="BodyText"/>
        <w:tabs>
          <w:tab w:val="left" w:pos="9540"/>
        </w:tabs>
        <w:spacing w:line="250" w:lineRule="auto"/>
        <w:jc w:val="both"/>
      </w:pPr>
    </w:p>
    <w:p w:rsidR="00761F8F" w:rsidP="006B578A" w14:paraId="1C57B9A1" w14:textId="6CA41490">
      <w:pPr>
        <w:pStyle w:val="BodyText"/>
        <w:tabs>
          <w:tab w:val="left" w:pos="9540"/>
        </w:tabs>
        <w:spacing w:line="250" w:lineRule="auto"/>
        <w:jc w:val="both"/>
      </w:pPr>
      <w:r>
        <w:t>On January 15, 2025, the Company announced the appointment of Jody Bellefleur as CFO of the Company.</w:t>
      </w:r>
    </w:p>
    <w:p w:rsidR="00761F8F" w:rsidP="006B578A" w14:paraId="71E46CDB" w14:textId="77777777">
      <w:pPr>
        <w:pStyle w:val="BodyText"/>
        <w:tabs>
          <w:tab w:val="left" w:pos="9540"/>
        </w:tabs>
        <w:spacing w:line="250" w:lineRule="auto"/>
        <w:jc w:val="both"/>
      </w:pPr>
    </w:p>
    <w:p w:rsidR="00761F8F" w:rsidP="006B578A" w14:paraId="6A5D156E" w14:textId="57ABF7F3">
      <w:pPr>
        <w:pStyle w:val="BodyText"/>
        <w:tabs>
          <w:tab w:val="left" w:pos="9540"/>
        </w:tabs>
        <w:spacing w:line="250" w:lineRule="auto"/>
        <w:jc w:val="both"/>
      </w:pPr>
      <w:r>
        <w:t xml:space="preserve">On February 12, 2025, the Company announced the completion of a non-brokered private placement for aggregate gross proceeds of $839,999, pursuant to which it issued </w:t>
      </w:r>
      <w:r w:rsidRPr="00761F8F">
        <w:t xml:space="preserve">6,999,999 units of the </w:t>
      </w:r>
      <w:r>
        <w:t>C</w:t>
      </w:r>
      <w:r w:rsidRPr="00761F8F">
        <w:t xml:space="preserve">ompany at a price of </w:t>
      </w:r>
      <w:r w:rsidR="002726BA">
        <w:t>$0.</w:t>
      </w:r>
      <w:r w:rsidRPr="00761F8F">
        <w:t>12 per unit</w:t>
      </w:r>
      <w:r>
        <w:t xml:space="preserve">, with each </w:t>
      </w:r>
      <w:r w:rsidRPr="00761F8F">
        <w:t>unit consist</w:t>
      </w:r>
      <w:r>
        <w:t>ing</w:t>
      </w:r>
      <w:r w:rsidRPr="00761F8F">
        <w:t xml:space="preserve"> of one </w:t>
      </w:r>
      <w:r w:rsidR="0011528C">
        <w:t>C</w:t>
      </w:r>
      <w:r w:rsidRPr="00761F8F" w:rsidR="0011528C">
        <w:t xml:space="preserve">ommon </w:t>
      </w:r>
      <w:r w:rsidR="0011528C">
        <w:t>S</w:t>
      </w:r>
      <w:r w:rsidRPr="00761F8F" w:rsidR="0011528C">
        <w:t xml:space="preserve">hare </w:t>
      </w:r>
      <w:r w:rsidRPr="00761F8F">
        <w:t xml:space="preserve">and one common share purchase warrant, each warrant exercisable to acquire one </w:t>
      </w:r>
      <w:r w:rsidR="0011528C">
        <w:t>C</w:t>
      </w:r>
      <w:r w:rsidRPr="00761F8F" w:rsidR="0011528C">
        <w:t xml:space="preserve">ommon </w:t>
      </w:r>
      <w:r w:rsidR="0011528C">
        <w:t>S</w:t>
      </w:r>
      <w:r w:rsidRPr="00761F8F" w:rsidR="0011528C">
        <w:t xml:space="preserve">hare </w:t>
      </w:r>
      <w:r w:rsidRPr="00761F8F">
        <w:t xml:space="preserve">at a price of </w:t>
      </w:r>
      <w:r w:rsidR="002726BA">
        <w:t>$0.</w:t>
      </w:r>
      <w:r w:rsidRPr="00761F8F">
        <w:t>16 per share for a period of 24 months</w:t>
      </w:r>
      <w:r>
        <w:t>.</w:t>
      </w:r>
    </w:p>
    <w:p w:rsidR="00761F8F" w:rsidP="006B578A" w14:paraId="4E3FD21D" w14:textId="77777777">
      <w:pPr>
        <w:pStyle w:val="BodyText"/>
        <w:tabs>
          <w:tab w:val="left" w:pos="9540"/>
        </w:tabs>
        <w:spacing w:line="250" w:lineRule="auto"/>
        <w:jc w:val="both"/>
      </w:pPr>
    </w:p>
    <w:p w:rsidR="00761F8F" w:rsidP="006B578A" w14:paraId="3D19BBF3" w14:textId="1F63A126">
      <w:pPr>
        <w:pStyle w:val="BodyText"/>
        <w:tabs>
          <w:tab w:val="left" w:pos="9540"/>
        </w:tabs>
        <w:spacing w:line="250" w:lineRule="auto"/>
        <w:jc w:val="both"/>
      </w:pPr>
      <w:r>
        <w:t>On February 21, 2025 the Company changed its name from “Alpha Copper Corp.” to “Star Copper Corp.”</w:t>
      </w:r>
    </w:p>
    <w:p w:rsidR="00761F8F" w:rsidP="006B578A" w14:paraId="7EDA8A51" w14:textId="77777777">
      <w:pPr>
        <w:pStyle w:val="BodyText"/>
        <w:tabs>
          <w:tab w:val="left" w:pos="9540"/>
        </w:tabs>
        <w:spacing w:line="250" w:lineRule="auto"/>
        <w:jc w:val="both"/>
      </w:pPr>
    </w:p>
    <w:p w:rsidR="00761F8F" w:rsidP="006B578A" w14:paraId="60757E5A" w14:textId="7A675C2F">
      <w:pPr>
        <w:pStyle w:val="BodyText"/>
        <w:tabs>
          <w:tab w:val="left" w:pos="9540"/>
        </w:tabs>
        <w:spacing w:line="250" w:lineRule="auto"/>
        <w:jc w:val="both"/>
      </w:pPr>
      <w:r>
        <w:t>On March 14, 2025, the Company announced that it had entered into</w:t>
      </w:r>
      <w:r w:rsidRPr="00761F8F">
        <w:t xml:space="preserve"> an arrangement agreement dated March 14, 2025, with Alpha Copper Corp., a wholly owned subsidiary of Star Copper, pursuant to which the </w:t>
      </w:r>
      <w:r>
        <w:t>C</w:t>
      </w:r>
      <w:r w:rsidRPr="00761F8F">
        <w:t>ompany propose</w:t>
      </w:r>
      <w:r>
        <w:t>d</w:t>
      </w:r>
      <w:r w:rsidRPr="00761F8F">
        <w:t xml:space="preserve"> to spin out to the </w:t>
      </w:r>
      <w:r>
        <w:t>C</w:t>
      </w:r>
      <w:r w:rsidRPr="00761F8F">
        <w:t>ompany's shareholders its 100-per-cent interest in the Okeover copper-molybdenum project, which consists of a property encompassing 4,613 hectares (11,399 acres) located immediately north of the coastal city of Powell River, B.C.</w:t>
      </w:r>
      <w:r>
        <w:t xml:space="preserve"> (the “</w:t>
      </w:r>
      <w:r w:rsidRPr="00761F8F">
        <w:rPr>
          <w:b/>
          <w:bCs/>
        </w:rPr>
        <w:t>Spin-Out</w:t>
      </w:r>
      <w:r>
        <w:t>”). The Spin-Out was ultimately completed on May 9, 2025.</w:t>
      </w:r>
    </w:p>
    <w:p w:rsidR="00761F8F" w:rsidP="006B578A" w14:paraId="373663B3" w14:textId="77777777">
      <w:pPr>
        <w:pStyle w:val="BodyText"/>
        <w:tabs>
          <w:tab w:val="left" w:pos="9540"/>
        </w:tabs>
        <w:spacing w:line="250" w:lineRule="auto"/>
        <w:jc w:val="both"/>
      </w:pPr>
    </w:p>
    <w:p w:rsidR="00761F8F" w:rsidP="006B578A" w14:paraId="1F0FD2CF" w14:textId="27A25935">
      <w:pPr>
        <w:pStyle w:val="BodyText"/>
        <w:tabs>
          <w:tab w:val="left" w:pos="9540"/>
        </w:tabs>
        <w:spacing w:line="250" w:lineRule="auto"/>
        <w:jc w:val="both"/>
      </w:pPr>
      <w:r>
        <w:t xml:space="preserve">On April 9, 2025, the Company announced the completion of </w:t>
      </w:r>
      <w:r w:rsidRPr="00761F8F">
        <w:t>a non-brokered private placement</w:t>
      </w:r>
      <w:r>
        <w:t>,</w:t>
      </w:r>
      <w:r w:rsidRPr="00761F8F">
        <w:t xml:space="preserve"> issuing a total of 10</w:t>
      </w:r>
      <w:r w:rsidR="002726BA">
        <w:t>,000,000</w:t>
      </w:r>
      <w:r w:rsidRPr="00761F8F">
        <w:t xml:space="preserve"> units of the </w:t>
      </w:r>
      <w:r>
        <w:t>C</w:t>
      </w:r>
      <w:r w:rsidRPr="00761F8F">
        <w:t xml:space="preserve">ompany at a price of </w:t>
      </w:r>
      <w:r w:rsidR="002726BA">
        <w:t>$0.</w:t>
      </w:r>
      <w:r w:rsidRPr="00761F8F">
        <w:t xml:space="preserve">25 per unit for gross proceeds of $2.5-million. Each unit consisted of one </w:t>
      </w:r>
      <w:r w:rsidR="0011528C">
        <w:t>C</w:t>
      </w:r>
      <w:r w:rsidRPr="00761F8F" w:rsidR="0011528C">
        <w:t xml:space="preserve">ommon </w:t>
      </w:r>
      <w:r w:rsidR="0011528C">
        <w:t>S</w:t>
      </w:r>
      <w:r w:rsidRPr="00761F8F" w:rsidR="0011528C">
        <w:t xml:space="preserve">hare </w:t>
      </w:r>
      <w:r w:rsidRPr="00761F8F">
        <w:t xml:space="preserve">and one common share purchase warrant, each warrant exercisable to acquire one </w:t>
      </w:r>
      <w:r w:rsidR="0011528C">
        <w:t>C</w:t>
      </w:r>
      <w:r w:rsidRPr="00761F8F" w:rsidR="0011528C">
        <w:t xml:space="preserve">ommon </w:t>
      </w:r>
      <w:r w:rsidR="0011528C">
        <w:t>S</w:t>
      </w:r>
      <w:r w:rsidRPr="00761F8F" w:rsidR="0011528C">
        <w:t xml:space="preserve">hare </w:t>
      </w:r>
      <w:r w:rsidRPr="00761F8F">
        <w:t xml:space="preserve">at a price of </w:t>
      </w:r>
      <w:r>
        <w:t>$0.32</w:t>
      </w:r>
      <w:r w:rsidRPr="00761F8F">
        <w:t xml:space="preserve"> per share for a period of 24 months</w:t>
      </w:r>
      <w:r>
        <w:t>.</w:t>
      </w:r>
    </w:p>
    <w:p w:rsidR="0011528C" w:rsidP="00761F8F" w14:paraId="7AE2972F" w14:textId="3C91A70C">
      <w:pPr>
        <w:pStyle w:val="BodyText"/>
        <w:keepNext/>
        <w:keepLines/>
        <w:tabs>
          <w:tab w:val="left" w:pos="9540"/>
        </w:tabs>
        <w:spacing w:before="240" w:line="249" w:lineRule="auto"/>
        <w:jc w:val="both"/>
      </w:pPr>
      <w:r>
        <w:t xml:space="preserve">On April 29, 2025, the Company announced </w:t>
      </w:r>
      <w:r>
        <w:t xml:space="preserve">the appointment of Brad Nichol to the Company’s Board of Directors, and a </w:t>
      </w:r>
      <w:r w:rsidRPr="0011528C">
        <w:t xml:space="preserve">non-brokered private placement </w:t>
      </w:r>
      <w:r>
        <w:t>(the “</w:t>
      </w:r>
      <w:r w:rsidRPr="0011528C">
        <w:rPr>
          <w:b/>
          <w:bCs/>
        </w:rPr>
        <w:t xml:space="preserve">Concurrent </w:t>
      </w:r>
      <w:r>
        <w:rPr>
          <w:b/>
          <w:bCs/>
        </w:rPr>
        <w:t>Private Placement</w:t>
      </w:r>
      <w:r>
        <w:t xml:space="preserve">”) </w:t>
      </w:r>
      <w:r w:rsidRPr="0011528C">
        <w:t xml:space="preserve">of up to </w:t>
      </w:r>
      <w:r>
        <w:t>6,000,000</w:t>
      </w:r>
      <w:r w:rsidRPr="0011528C">
        <w:t xml:space="preserve"> non-flow-through units of the </w:t>
      </w:r>
      <w:r>
        <w:t>C</w:t>
      </w:r>
      <w:r w:rsidRPr="0011528C">
        <w:t xml:space="preserve">ompany at a price of </w:t>
      </w:r>
      <w:r>
        <w:t>$0.50</w:t>
      </w:r>
      <w:r w:rsidRPr="0011528C">
        <w:t xml:space="preserve"> per unit for gross proceeds of up to $3-million</w:t>
      </w:r>
      <w:r>
        <w:t xml:space="preserve"> (“</w:t>
      </w:r>
      <w:r w:rsidRPr="00CD45C0">
        <w:rPr>
          <w:b/>
          <w:bCs/>
        </w:rPr>
        <w:t>Non-LIFE Units</w:t>
      </w:r>
      <w:r>
        <w:t>”)</w:t>
      </w:r>
      <w:r w:rsidRPr="0011528C">
        <w:t xml:space="preserve"> and up to 5,263,157 flow-through shares at a price of </w:t>
      </w:r>
      <w:r w:rsidR="002726BA">
        <w:t>$0.</w:t>
      </w:r>
      <w:r w:rsidRPr="0011528C">
        <w:t>57 per flow-through share for gross proceeds of up to $3-million</w:t>
      </w:r>
      <w:r>
        <w:t xml:space="preserve"> (the “</w:t>
      </w:r>
      <w:r w:rsidRPr="0011528C">
        <w:rPr>
          <w:b/>
          <w:bCs/>
        </w:rPr>
        <w:t>FT Shares</w:t>
      </w:r>
      <w:r>
        <w:t>”). Each Non-LIFE Unit w</w:t>
      </w:r>
      <w:r w:rsidRPr="0011528C">
        <w:t xml:space="preserve">ill comprise one </w:t>
      </w:r>
      <w:r>
        <w:t>C</w:t>
      </w:r>
      <w:r w:rsidRPr="00761F8F">
        <w:t xml:space="preserve">ommon </w:t>
      </w:r>
      <w:r>
        <w:t>S</w:t>
      </w:r>
      <w:r w:rsidRPr="00761F8F">
        <w:t xml:space="preserve">hare </w:t>
      </w:r>
      <w:r w:rsidRPr="0011528C">
        <w:t xml:space="preserve">and one common share purchase warrant, with each warrant exercisable to acquire one </w:t>
      </w:r>
      <w:r>
        <w:t>C</w:t>
      </w:r>
      <w:r w:rsidRPr="00761F8F">
        <w:t xml:space="preserve">ommon </w:t>
      </w:r>
      <w:r>
        <w:t>S</w:t>
      </w:r>
      <w:r w:rsidRPr="00761F8F">
        <w:t xml:space="preserve">hare </w:t>
      </w:r>
      <w:r w:rsidRPr="0011528C">
        <w:t xml:space="preserve">at a price of </w:t>
      </w:r>
      <w:r w:rsidR="002726BA">
        <w:t>$0.</w:t>
      </w:r>
      <w:r w:rsidRPr="0011528C">
        <w:t>75 per share for a period of 12 months from the date of issuance.</w:t>
      </w:r>
    </w:p>
    <w:p w:rsidR="0011528C" w:rsidP="006B578A" w14:paraId="4D2CED44" w14:textId="77777777">
      <w:pPr>
        <w:pStyle w:val="BodyText"/>
        <w:tabs>
          <w:tab w:val="left" w:pos="9540"/>
        </w:tabs>
        <w:spacing w:line="250" w:lineRule="auto"/>
        <w:jc w:val="both"/>
      </w:pPr>
    </w:p>
    <w:p w:rsidR="00761F8F" w:rsidP="006B578A" w14:paraId="1171562F" w14:textId="3AC2492F">
      <w:pPr>
        <w:pStyle w:val="BodyText"/>
        <w:tabs>
          <w:tab w:val="left" w:pos="9540"/>
        </w:tabs>
        <w:spacing w:line="250" w:lineRule="auto"/>
        <w:jc w:val="both"/>
      </w:pPr>
      <w:r>
        <w:t>On April 30, 2025, the shareholders of the Company voted to approve the Spin-Out at the Company’s annual general and special meeting of shareholders.</w:t>
      </w:r>
    </w:p>
    <w:p w:rsidR="00761F8F" w:rsidP="006B578A" w14:paraId="0647D86E" w14:textId="77777777">
      <w:pPr>
        <w:pStyle w:val="BodyText"/>
        <w:tabs>
          <w:tab w:val="left" w:pos="9540"/>
        </w:tabs>
        <w:spacing w:line="250" w:lineRule="auto"/>
        <w:jc w:val="both"/>
      </w:pPr>
    </w:p>
    <w:p w:rsidR="00E343B8" w:rsidP="00DA139B" w14:paraId="6B545C51" w14:textId="77777777">
      <w:pPr>
        <w:pStyle w:val="BodyText"/>
        <w:tabs>
          <w:tab w:val="left" w:pos="9540"/>
        </w:tabs>
        <w:spacing w:line="249" w:lineRule="auto"/>
        <w:jc w:val="both"/>
      </w:pPr>
    </w:p>
    <w:p w:rsidR="004D7A2D" w:rsidP="00DA139B" w14:paraId="0A0C385D" w14:textId="0BD7A7FD">
      <w:pPr>
        <w:pStyle w:val="BodyText"/>
        <w:tabs>
          <w:tab w:val="left" w:pos="9540"/>
        </w:tabs>
        <w:spacing w:line="249" w:lineRule="auto"/>
        <w:jc w:val="both"/>
        <w:rPr>
          <w:b/>
        </w:rPr>
      </w:pPr>
      <w:r>
        <w:rPr>
          <w:b/>
          <w:spacing w:val="-2"/>
        </w:rPr>
        <w:t>Material</w:t>
      </w:r>
      <w:r>
        <w:rPr>
          <w:b/>
          <w:spacing w:val="1"/>
        </w:rPr>
        <w:t xml:space="preserve"> </w:t>
      </w:r>
      <w:r>
        <w:rPr>
          <w:b/>
          <w:spacing w:val="-2"/>
        </w:rPr>
        <w:t>Facts</w:t>
      </w:r>
    </w:p>
    <w:p w:rsidR="004D7A2D" w:rsidP="00DA139B" w14:paraId="11DB0E4C" w14:textId="77777777">
      <w:pPr>
        <w:pStyle w:val="BodyText"/>
        <w:tabs>
          <w:tab w:val="left" w:pos="9540"/>
        </w:tabs>
        <w:spacing w:before="10"/>
        <w:jc w:val="both"/>
        <w:rPr>
          <w:b/>
        </w:rPr>
      </w:pPr>
    </w:p>
    <w:p w:rsidR="004D7A2D" w:rsidP="00DA139B" w14:paraId="1BC02A2A" w14:textId="77777777">
      <w:pPr>
        <w:pStyle w:val="BodyText"/>
        <w:tabs>
          <w:tab w:val="left" w:pos="9540"/>
        </w:tabs>
        <w:jc w:val="both"/>
      </w:pPr>
      <w:r>
        <w:t>There are no material facts about the securities being distributed that have not been disclosed elsewhere in this Offering Document or in any other document filed by the Company in the 12 months preceding the date of this Offering Document.</w:t>
      </w:r>
    </w:p>
    <w:p w:rsidR="006E1045" w:rsidRPr="006E1045" w:rsidP="006E1045" w14:paraId="5C3741B1" w14:textId="15714DDB">
      <w:pPr>
        <w:pStyle w:val="BodyText"/>
        <w:tabs>
          <w:tab w:val="left" w:pos="9540"/>
        </w:tabs>
        <w:spacing w:before="240"/>
        <w:jc w:val="both"/>
      </w:pPr>
      <w:r>
        <w:t xml:space="preserve">In addition to the securities being offered under the Offering, the issuer will also be offering for sale under the Concurrent Private Placement up to </w:t>
      </w:r>
      <w:r w:rsidR="0011528C">
        <w:t>6,000,000</w:t>
      </w:r>
      <w:r>
        <w:t xml:space="preserve"> Non-LIFE Units </w:t>
      </w:r>
      <w:r w:rsidR="0011528C">
        <w:t xml:space="preserve">and up to 5,263,157 FT Shares </w:t>
      </w:r>
      <w:r>
        <w:t xml:space="preserve">under applicable prospectus exemptions in accordance with NI 45-106 – </w:t>
      </w:r>
      <w:r>
        <w:rPr>
          <w:i/>
          <w:iCs/>
        </w:rPr>
        <w:t>Prospectus Exemptions</w:t>
      </w:r>
      <w:r>
        <w:t xml:space="preserve"> for additional gross proceeds to the issuer of up to $</w:t>
      </w:r>
      <w:r w:rsidR="0011528C">
        <w:t>6,000,000</w:t>
      </w:r>
      <w:r w:rsidR="006B578A">
        <w:t xml:space="preserve">. </w:t>
      </w:r>
      <w:r w:rsidRPr="001A60BF" w:rsidR="006B578A">
        <w:t xml:space="preserve">The </w:t>
      </w:r>
      <w:r w:rsidR="0011528C">
        <w:t xml:space="preserve">FT Shares and </w:t>
      </w:r>
      <w:r w:rsidR="00282A1C">
        <w:t xml:space="preserve">Common Shares and warrants comprising the </w:t>
      </w:r>
      <w:r w:rsidRPr="001A60BF" w:rsidR="006B578A">
        <w:t>N</w:t>
      </w:r>
      <w:r w:rsidRPr="001A60BF" w:rsidR="006B578A">
        <w:rPr>
          <w:rFonts w:hint="eastAsia"/>
        </w:rPr>
        <w:t>o</w:t>
      </w:r>
      <w:r w:rsidRPr="001A60BF" w:rsidR="006B578A">
        <w:t>n-LIFE Units issued pursuant to the Concurrent Private Placement will be subject to a four-month hold period and may not be traded until four months plus one day following the date of issuance</w:t>
      </w:r>
      <w:r w:rsidR="006B578A">
        <w:t xml:space="preserve"> </w:t>
      </w:r>
      <w:r w:rsidR="00F47A05">
        <w:t>thereof</w:t>
      </w:r>
      <w:r w:rsidRPr="001A60BF" w:rsidR="006B578A">
        <w:t>.</w:t>
      </w:r>
    </w:p>
    <w:p w:rsidR="004D7A2D" w:rsidP="00DA139B" w14:paraId="361E5BB5" w14:textId="77777777">
      <w:pPr>
        <w:pStyle w:val="BodyText"/>
        <w:tabs>
          <w:tab w:val="left" w:pos="9540"/>
        </w:tabs>
        <w:jc w:val="both"/>
        <w:rPr>
          <w:sz w:val="21"/>
        </w:rPr>
      </w:pPr>
    </w:p>
    <w:p w:rsidR="004D7A2D" w:rsidP="00DA139B" w14:paraId="45B10F69" w14:textId="77777777">
      <w:pPr>
        <w:tabs>
          <w:tab w:val="left" w:pos="9540"/>
        </w:tabs>
        <w:jc w:val="both"/>
        <w:rPr>
          <w:b/>
          <w:sz w:val="20"/>
        </w:rPr>
      </w:pPr>
      <w:r>
        <w:rPr>
          <w:b/>
          <w:sz w:val="20"/>
        </w:rPr>
        <w:t>What</w:t>
      </w:r>
      <w:r>
        <w:rPr>
          <w:b/>
          <w:spacing w:val="-9"/>
          <w:sz w:val="20"/>
        </w:rPr>
        <w:t xml:space="preserve"> </w:t>
      </w:r>
      <w:r>
        <w:rPr>
          <w:b/>
          <w:sz w:val="20"/>
        </w:rPr>
        <w:t>are</w:t>
      </w:r>
      <w:r>
        <w:rPr>
          <w:b/>
          <w:spacing w:val="-8"/>
          <w:sz w:val="20"/>
        </w:rPr>
        <w:t xml:space="preserve"> </w:t>
      </w:r>
      <w:r>
        <w:rPr>
          <w:b/>
          <w:sz w:val="20"/>
        </w:rPr>
        <w:t>the</w:t>
      </w:r>
      <w:r>
        <w:rPr>
          <w:b/>
          <w:spacing w:val="-8"/>
          <w:sz w:val="20"/>
        </w:rPr>
        <w:t xml:space="preserve"> </w:t>
      </w:r>
      <w:r>
        <w:rPr>
          <w:b/>
          <w:sz w:val="20"/>
        </w:rPr>
        <w:t>business</w:t>
      </w:r>
      <w:r>
        <w:rPr>
          <w:b/>
          <w:spacing w:val="-9"/>
          <w:sz w:val="20"/>
        </w:rPr>
        <w:t xml:space="preserve"> </w:t>
      </w:r>
      <w:r>
        <w:rPr>
          <w:b/>
          <w:sz w:val="20"/>
        </w:rPr>
        <w:t>objectives</w:t>
      </w:r>
      <w:r>
        <w:rPr>
          <w:b/>
          <w:spacing w:val="-8"/>
          <w:sz w:val="20"/>
        </w:rPr>
        <w:t xml:space="preserve"> </w:t>
      </w:r>
      <w:r>
        <w:rPr>
          <w:b/>
          <w:sz w:val="20"/>
        </w:rPr>
        <w:t>that</w:t>
      </w:r>
      <w:r>
        <w:rPr>
          <w:b/>
          <w:spacing w:val="-8"/>
          <w:sz w:val="20"/>
        </w:rPr>
        <w:t xml:space="preserve"> </w:t>
      </w:r>
      <w:r>
        <w:rPr>
          <w:b/>
          <w:sz w:val="20"/>
        </w:rPr>
        <w:t>we</w:t>
      </w:r>
      <w:r>
        <w:rPr>
          <w:b/>
          <w:spacing w:val="-7"/>
          <w:sz w:val="20"/>
        </w:rPr>
        <w:t xml:space="preserve"> </w:t>
      </w:r>
      <w:r>
        <w:rPr>
          <w:b/>
          <w:sz w:val="20"/>
        </w:rPr>
        <w:t>expect</w:t>
      </w:r>
      <w:r>
        <w:rPr>
          <w:b/>
          <w:spacing w:val="-8"/>
          <w:sz w:val="20"/>
        </w:rPr>
        <w:t xml:space="preserve"> </w:t>
      </w:r>
      <w:r>
        <w:rPr>
          <w:b/>
          <w:sz w:val="20"/>
        </w:rPr>
        <w:t>to</w:t>
      </w:r>
      <w:r>
        <w:rPr>
          <w:b/>
          <w:spacing w:val="-8"/>
          <w:sz w:val="20"/>
        </w:rPr>
        <w:t xml:space="preserve"> </w:t>
      </w:r>
      <w:r>
        <w:rPr>
          <w:b/>
          <w:sz w:val="20"/>
        </w:rPr>
        <w:t>accomplish</w:t>
      </w:r>
      <w:r>
        <w:rPr>
          <w:b/>
          <w:spacing w:val="-8"/>
          <w:sz w:val="20"/>
        </w:rPr>
        <w:t xml:space="preserve"> </w:t>
      </w:r>
      <w:r>
        <w:rPr>
          <w:b/>
          <w:sz w:val="20"/>
        </w:rPr>
        <w:t>using</w:t>
      </w:r>
      <w:r>
        <w:rPr>
          <w:b/>
          <w:spacing w:val="-8"/>
          <w:sz w:val="20"/>
        </w:rPr>
        <w:t xml:space="preserve"> </w:t>
      </w:r>
      <w:r>
        <w:rPr>
          <w:b/>
          <w:sz w:val="20"/>
        </w:rPr>
        <w:t>the</w:t>
      </w:r>
      <w:r>
        <w:rPr>
          <w:b/>
          <w:spacing w:val="-7"/>
          <w:sz w:val="20"/>
        </w:rPr>
        <w:t xml:space="preserve"> </w:t>
      </w:r>
      <w:r>
        <w:rPr>
          <w:b/>
          <w:sz w:val="20"/>
        </w:rPr>
        <w:t>available</w:t>
      </w:r>
      <w:r>
        <w:rPr>
          <w:b/>
          <w:spacing w:val="-6"/>
          <w:sz w:val="20"/>
        </w:rPr>
        <w:t xml:space="preserve"> </w:t>
      </w:r>
      <w:r>
        <w:rPr>
          <w:b/>
          <w:spacing w:val="-2"/>
          <w:sz w:val="20"/>
        </w:rPr>
        <w:t>funds?</w:t>
      </w:r>
    </w:p>
    <w:p w:rsidR="004D7A2D" w:rsidP="00DA139B" w14:paraId="34A9151F" w14:textId="77777777">
      <w:pPr>
        <w:pStyle w:val="BodyText"/>
        <w:tabs>
          <w:tab w:val="left" w:pos="9540"/>
        </w:tabs>
        <w:spacing w:before="8"/>
        <w:jc w:val="both"/>
        <w:rPr>
          <w:b/>
        </w:rPr>
      </w:pPr>
    </w:p>
    <w:p w:rsidR="00EF3638" w:rsidP="00DA139B" w14:paraId="3A7E095F" w14:textId="3B8C23E7">
      <w:pPr>
        <w:pStyle w:val="BodyText"/>
        <w:tabs>
          <w:tab w:val="left" w:pos="9540"/>
        </w:tabs>
        <w:jc w:val="both"/>
      </w:pPr>
      <w:r>
        <w:t>The</w:t>
      </w:r>
      <w:r>
        <w:rPr>
          <w:spacing w:val="-1"/>
        </w:rPr>
        <w:t xml:space="preserve"> </w:t>
      </w:r>
      <w:r>
        <w:t>Company</w:t>
      </w:r>
      <w:r>
        <w:rPr>
          <w:spacing w:val="-1"/>
        </w:rPr>
        <w:t xml:space="preserve"> </w:t>
      </w:r>
      <w:r w:rsidR="007B698D">
        <w:rPr>
          <w:spacing w:val="-1"/>
        </w:rPr>
        <w:t xml:space="preserve">expects to </w:t>
      </w:r>
      <w:r w:rsidR="003314F9">
        <w:rPr>
          <w:spacing w:val="-1"/>
        </w:rPr>
        <w:t>use</w:t>
      </w:r>
      <w:r>
        <w:rPr>
          <w:spacing w:val="-1"/>
        </w:rPr>
        <w:t xml:space="preserve"> </w:t>
      </w:r>
      <w:r>
        <w:t>the</w:t>
      </w:r>
      <w:r>
        <w:rPr>
          <w:spacing w:val="-1"/>
        </w:rPr>
        <w:t xml:space="preserve"> </w:t>
      </w:r>
      <w:r w:rsidR="00782D24">
        <w:rPr>
          <w:spacing w:val="-1"/>
        </w:rPr>
        <w:t xml:space="preserve">net </w:t>
      </w:r>
      <w:r>
        <w:t>proceeds</w:t>
      </w:r>
      <w:r>
        <w:rPr>
          <w:spacing w:val="-1"/>
        </w:rPr>
        <w:t xml:space="preserve"> </w:t>
      </w:r>
      <w:r>
        <w:t>from</w:t>
      </w:r>
      <w:r>
        <w:rPr>
          <w:spacing w:val="-1"/>
        </w:rPr>
        <w:t xml:space="preserve"> </w:t>
      </w:r>
      <w:r>
        <w:t>the</w:t>
      </w:r>
      <w:r>
        <w:rPr>
          <w:spacing w:val="-1"/>
        </w:rPr>
        <w:t xml:space="preserve"> </w:t>
      </w:r>
      <w:r>
        <w:t>Offering</w:t>
      </w:r>
      <w:r>
        <w:rPr>
          <w:spacing w:val="-1"/>
        </w:rPr>
        <w:t xml:space="preserve"> </w:t>
      </w:r>
      <w:r w:rsidR="0011528C">
        <w:rPr>
          <w:spacing w:val="-1"/>
        </w:rPr>
        <w:t>to fund exploration of its Indata Project, and for general working capital purposes</w:t>
      </w:r>
      <w:r w:rsidR="00782D24">
        <w:t>.</w:t>
      </w:r>
    </w:p>
    <w:p w:rsidR="004D7A2D" w:rsidP="00DA139B" w14:paraId="4BBCE827" w14:textId="77777777">
      <w:pPr>
        <w:pStyle w:val="BodyText"/>
        <w:tabs>
          <w:tab w:val="left" w:pos="9540"/>
        </w:tabs>
        <w:jc w:val="both"/>
      </w:pPr>
    </w:p>
    <w:p w:rsidR="004D7A2D" w:rsidP="00375B7E" w14:paraId="2870AD26" w14:textId="77777777">
      <w:pPr>
        <w:pStyle w:val="Heading1"/>
        <w:keepNext/>
        <w:ind w:left="1479"/>
      </w:pPr>
      <w:r>
        <w:t>USE</w:t>
      </w:r>
      <w:r>
        <w:rPr>
          <w:spacing w:val="-6"/>
        </w:rPr>
        <w:t xml:space="preserve"> </w:t>
      </w:r>
      <w:r>
        <w:t>OF</w:t>
      </w:r>
      <w:r>
        <w:rPr>
          <w:spacing w:val="-6"/>
        </w:rPr>
        <w:t xml:space="preserve"> </w:t>
      </w:r>
      <w:r>
        <w:t>AVAILABLE</w:t>
      </w:r>
      <w:r>
        <w:rPr>
          <w:spacing w:val="-7"/>
        </w:rPr>
        <w:t xml:space="preserve"> </w:t>
      </w:r>
      <w:r>
        <w:rPr>
          <w:spacing w:val="-2"/>
        </w:rPr>
        <w:t>FUNDS</w:t>
      </w:r>
    </w:p>
    <w:p w:rsidR="004D7A2D" w:rsidP="00375B7E" w14:paraId="05AF41E2" w14:textId="77777777">
      <w:pPr>
        <w:pStyle w:val="BodyText"/>
        <w:keepNext/>
        <w:spacing w:before="10"/>
        <w:rPr>
          <w:b/>
        </w:rPr>
      </w:pPr>
    </w:p>
    <w:p w:rsidR="004D7A2D" w:rsidRPr="00D51D27" w:rsidP="00375B7E" w14:paraId="2F7F1B9F" w14:textId="48808627">
      <w:pPr>
        <w:keepNext/>
        <w:spacing w:before="1"/>
        <w:ind w:left="176"/>
        <w:rPr>
          <w:bCs/>
          <w:sz w:val="20"/>
        </w:rPr>
      </w:pPr>
      <w:r>
        <w:rPr>
          <w:b/>
          <w:sz w:val="20"/>
        </w:rPr>
        <w:t>What</w:t>
      </w:r>
      <w:r>
        <w:rPr>
          <w:b/>
          <w:spacing w:val="-7"/>
          <w:sz w:val="20"/>
        </w:rPr>
        <w:t xml:space="preserve"> </w:t>
      </w:r>
      <w:r>
        <w:rPr>
          <w:b/>
          <w:sz w:val="20"/>
        </w:rPr>
        <w:t>will</w:t>
      </w:r>
      <w:r>
        <w:rPr>
          <w:b/>
          <w:spacing w:val="-7"/>
          <w:sz w:val="20"/>
        </w:rPr>
        <w:t xml:space="preserve"> </w:t>
      </w:r>
      <w:r>
        <w:rPr>
          <w:b/>
          <w:sz w:val="20"/>
        </w:rPr>
        <w:t>our</w:t>
      </w:r>
      <w:r>
        <w:rPr>
          <w:b/>
          <w:spacing w:val="-7"/>
          <w:sz w:val="20"/>
        </w:rPr>
        <w:t xml:space="preserve"> </w:t>
      </w:r>
      <w:r>
        <w:rPr>
          <w:b/>
          <w:sz w:val="20"/>
        </w:rPr>
        <w:t>available</w:t>
      </w:r>
      <w:r>
        <w:rPr>
          <w:b/>
          <w:spacing w:val="-6"/>
          <w:sz w:val="20"/>
        </w:rPr>
        <w:t xml:space="preserve"> </w:t>
      </w:r>
      <w:r>
        <w:rPr>
          <w:b/>
          <w:sz w:val="20"/>
        </w:rPr>
        <w:t>funds</w:t>
      </w:r>
      <w:r>
        <w:rPr>
          <w:b/>
          <w:spacing w:val="-7"/>
          <w:sz w:val="20"/>
        </w:rPr>
        <w:t xml:space="preserve"> </w:t>
      </w:r>
      <w:r>
        <w:rPr>
          <w:b/>
          <w:sz w:val="20"/>
        </w:rPr>
        <w:t>be</w:t>
      </w:r>
      <w:r>
        <w:rPr>
          <w:b/>
          <w:spacing w:val="-6"/>
          <w:sz w:val="20"/>
        </w:rPr>
        <w:t xml:space="preserve"> </w:t>
      </w:r>
      <w:r>
        <w:rPr>
          <w:b/>
          <w:sz w:val="20"/>
        </w:rPr>
        <w:t>upon</w:t>
      </w:r>
      <w:r>
        <w:rPr>
          <w:b/>
          <w:spacing w:val="-5"/>
          <w:sz w:val="20"/>
        </w:rPr>
        <w:t xml:space="preserve"> </w:t>
      </w:r>
      <w:r>
        <w:rPr>
          <w:b/>
          <w:sz w:val="20"/>
        </w:rPr>
        <w:t>the</w:t>
      </w:r>
      <w:r>
        <w:rPr>
          <w:b/>
          <w:spacing w:val="-5"/>
          <w:sz w:val="20"/>
        </w:rPr>
        <w:t xml:space="preserve"> </w:t>
      </w:r>
      <w:r>
        <w:rPr>
          <w:b/>
          <w:sz w:val="20"/>
        </w:rPr>
        <w:t>closing</w:t>
      </w:r>
      <w:r>
        <w:rPr>
          <w:b/>
          <w:spacing w:val="-4"/>
          <w:sz w:val="20"/>
        </w:rPr>
        <w:t xml:space="preserve"> </w:t>
      </w:r>
      <w:r>
        <w:rPr>
          <w:b/>
          <w:sz w:val="20"/>
        </w:rPr>
        <w:t>of</w:t>
      </w:r>
      <w:r>
        <w:rPr>
          <w:b/>
          <w:spacing w:val="-6"/>
          <w:sz w:val="20"/>
        </w:rPr>
        <w:t xml:space="preserve"> </w:t>
      </w:r>
      <w:r>
        <w:rPr>
          <w:b/>
          <w:sz w:val="20"/>
        </w:rPr>
        <w:t>the</w:t>
      </w:r>
      <w:r>
        <w:rPr>
          <w:b/>
          <w:spacing w:val="-2"/>
          <w:sz w:val="20"/>
        </w:rPr>
        <w:t xml:space="preserve"> Offering?</w:t>
      </w:r>
    </w:p>
    <w:p w:rsidR="004D7A2D" w:rsidP="00375B7E" w14:paraId="2EE8BCBE" w14:textId="77777777">
      <w:pPr>
        <w:pStyle w:val="BodyText"/>
        <w:keepNext/>
        <w:spacing w:before="7"/>
        <w:rPr>
          <w:b/>
          <w:sz w:val="15"/>
        </w:rPr>
      </w:pPr>
    </w:p>
    <w:tbl>
      <w:tblPr>
        <w:tblW w:w="9845"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0"/>
        <w:gridCol w:w="7255"/>
        <w:gridCol w:w="2160"/>
      </w:tblGrid>
      <w:tr w14:paraId="4E40DCEE" w14:textId="127CABD9" w:rsidTr="002E558C">
        <w:tblPrEx>
          <w:tblW w:w="9845" w:type="dxa"/>
          <w:tblInd w:w="140" w:type="dxa"/>
          <w:tblLayout w:type="fixed"/>
          <w:tblLook w:val="01E0"/>
        </w:tblPrEx>
        <w:trPr>
          <w:trHeight w:val="930"/>
        </w:trPr>
        <w:tc>
          <w:tcPr>
            <w:tcW w:w="430" w:type="dxa"/>
          </w:tcPr>
          <w:p w:rsidR="002E558C" w:rsidP="00375B7E" w14:paraId="319D8131" w14:textId="77777777">
            <w:pPr>
              <w:pStyle w:val="TableParagraph"/>
              <w:keepNext/>
              <w:spacing w:before="0"/>
              <w:ind w:left="0"/>
              <w:rPr>
                <w:rFonts w:ascii="Times New Roman" w:eastAsia="Arial" w:hAnsi="Arial" w:cs="Arial"/>
                <w:sz w:val="18"/>
                <w:szCs w:val="22"/>
                <w:lang w:val="en-US" w:eastAsia="en-US" w:bidi="ar-SA"/>
              </w:rPr>
            </w:pPr>
          </w:p>
        </w:tc>
        <w:tc>
          <w:tcPr>
            <w:tcW w:w="7255" w:type="dxa"/>
          </w:tcPr>
          <w:p w:rsidR="002E558C" w:rsidP="00375B7E" w14:paraId="0272092D" w14:textId="77777777">
            <w:pPr>
              <w:pStyle w:val="TableParagraph"/>
              <w:keepNext/>
              <w:spacing w:before="0"/>
              <w:ind w:left="0"/>
              <w:rPr>
                <w:rFonts w:ascii="Times New Roman" w:eastAsia="Arial" w:hAnsi="Arial" w:cs="Arial"/>
                <w:sz w:val="18"/>
                <w:szCs w:val="22"/>
                <w:lang w:val="en-US" w:eastAsia="en-US" w:bidi="ar-SA"/>
              </w:rPr>
            </w:pPr>
          </w:p>
        </w:tc>
        <w:tc>
          <w:tcPr>
            <w:tcW w:w="2160" w:type="dxa"/>
          </w:tcPr>
          <w:p w:rsidR="002E558C" w:rsidP="00375B7E" w14:paraId="6BD6A4B0" w14:textId="7BCEDC3C">
            <w:pPr>
              <w:pStyle w:val="TableParagraph"/>
              <w:keepNext/>
              <w:spacing w:before="119"/>
              <w:ind w:left="154" w:right="150" w:hanging="2"/>
              <w:jc w:val="center"/>
              <w:rPr>
                <w:rFonts w:ascii="Arial" w:eastAsia="Arial" w:hAnsi="Arial" w:cs="Arial"/>
                <w:b/>
                <w:sz w:val="20"/>
                <w:szCs w:val="22"/>
                <w:lang w:val="en-US" w:eastAsia="en-US" w:bidi="ar-SA"/>
              </w:rPr>
            </w:pPr>
            <w:r>
              <w:rPr>
                <w:rFonts w:ascii="Arial" w:eastAsia="Arial" w:hAnsi="Arial" w:cs="Arial"/>
                <w:b/>
                <w:spacing w:val="-2"/>
                <w:sz w:val="20"/>
                <w:szCs w:val="22"/>
                <w:lang w:val="en-US" w:eastAsia="en-US" w:bidi="ar-SA"/>
              </w:rPr>
              <w:t>Assuming 100% of Offering</w:t>
            </w:r>
            <w:r>
              <w:rPr>
                <w:rFonts w:ascii="Arial" w:eastAsia="Arial" w:hAnsi="Arial" w:cs="Arial"/>
                <w:b/>
                <w:spacing w:val="-14"/>
                <w:sz w:val="20"/>
                <w:szCs w:val="22"/>
                <w:lang w:val="en-US" w:eastAsia="en-US" w:bidi="ar-SA"/>
              </w:rPr>
              <w:br/>
            </w:r>
            <w:r>
              <w:rPr>
                <w:rFonts w:ascii="Arial" w:eastAsia="Arial" w:hAnsi="Arial" w:cs="Arial"/>
                <w:b/>
                <w:sz w:val="20"/>
                <w:szCs w:val="22"/>
                <w:lang w:val="en-US" w:eastAsia="en-US" w:bidi="ar-SA"/>
              </w:rPr>
              <w:t>($)</w:t>
            </w:r>
          </w:p>
        </w:tc>
      </w:tr>
      <w:tr w14:paraId="3EE2CBB2" w14:textId="542DE0EA" w:rsidTr="002E558C">
        <w:tblPrEx>
          <w:tblW w:w="9845" w:type="dxa"/>
          <w:tblInd w:w="140" w:type="dxa"/>
          <w:tblLayout w:type="fixed"/>
          <w:tblLook w:val="01E0"/>
        </w:tblPrEx>
        <w:trPr>
          <w:trHeight w:val="470"/>
        </w:trPr>
        <w:tc>
          <w:tcPr>
            <w:tcW w:w="430" w:type="dxa"/>
          </w:tcPr>
          <w:p w:rsidR="002E558C" w:rsidP="00375B7E" w14:paraId="29686D14" w14:textId="77777777">
            <w:pPr>
              <w:pStyle w:val="TableParagraph"/>
              <w:keepNext/>
              <w:spacing w:before="119"/>
              <w:ind w:left="107"/>
              <w:rPr>
                <w:rFonts w:ascii="Arial" w:eastAsia="Arial" w:hAnsi="Arial" w:cs="Arial"/>
                <w:sz w:val="20"/>
                <w:szCs w:val="22"/>
                <w:lang w:val="en-US" w:eastAsia="en-US" w:bidi="ar-SA"/>
              </w:rPr>
            </w:pPr>
            <w:r>
              <w:rPr>
                <w:rFonts w:ascii="Arial" w:eastAsia="Arial" w:hAnsi="Arial" w:cs="Arial"/>
                <w:w w:val="99"/>
                <w:sz w:val="20"/>
                <w:szCs w:val="22"/>
                <w:lang w:val="en-US" w:eastAsia="en-US" w:bidi="ar-SA"/>
              </w:rPr>
              <w:t>A</w:t>
            </w:r>
          </w:p>
        </w:tc>
        <w:tc>
          <w:tcPr>
            <w:tcW w:w="7255" w:type="dxa"/>
          </w:tcPr>
          <w:p w:rsidR="002E558C" w:rsidP="00375B7E" w14:paraId="262D7135" w14:textId="77777777">
            <w:pPr>
              <w:pStyle w:val="TableParagraph"/>
              <w:keepNext/>
              <w:spacing w:before="119"/>
              <w:ind w:left="107"/>
              <w:rPr>
                <w:rFonts w:ascii="Arial" w:eastAsia="Arial" w:hAnsi="Arial" w:cs="Arial"/>
                <w:sz w:val="20"/>
                <w:szCs w:val="22"/>
                <w:lang w:val="en-US" w:eastAsia="en-US" w:bidi="ar-SA"/>
              </w:rPr>
            </w:pPr>
            <w:r>
              <w:rPr>
                <w:rFonts w:ascii="Arial" w:eastAsia="Arial" w:hAnsi="Arial" w:cs="Arial"/>
                <w:sz w:val="20"/>
                <w:szCs w:val="22"/>
                <w:lang w:val="en-US" w:eastAsia="en-US" w:bidi="ar-SA"/>
              </w:rPr>
              <w:t>Amount</w:t>
            </w:r>
            <w:r>
              <w:rPr>
                <w:rFonts w:ascii="Arial" w:eastAsia="Arial" w:hAnsi="Arial" w:cs="Arial"/>
                <w:spacing w:val="-3"/>
                <w:sz w:val="20"/>
                <w:szCs w:val="22"/>
                <w:lang w:val="en-US" w:eastAsia="en-US" w:bidi="ar-SA"/>
              </w:rPr>
              <w:t xml:space="preserve"> </w:t>
            </w:r>
            <w:r>
              <w:rPr>
                <w:rFonts w:ascii="Arial" w:eastAsia="Arial" w:hAnsi="Arial" w:cs="Arial"/>
                <w:sz w:val="20"/>
                <w:szCs w:val="22"/>
                <w:lang w:val="en-US" w:eastAsia="en-US" w:bidi="ar-SA"/>
              </w:rPr>
              <w:t>to</w:t>
            </w:r>
            <w:r>
              <w:rPr>
                <w:rFonts w:ascii="Arial" w:eastAsia="Arial" w:hAnsi="Arial" w:cs="Arial"/>
                <w:spacing w:val="-5"/>
                <w:sz w:val="20"/>
                <w:szCs w:val="22"/>
                <w:lang w:val="en-US" w:eastAsia="en-US" w:bidi="ar-SA"/>
              </w:rPr>
              <w:t xml:space="preserve"> </w:t>
            </w:r>
            <w:r>
              <w:rPr>
                <w:rFonts w:ascii="Arial" w:eastAsia="Arial" w:hAnsi="Arial" w:cs="Arial"/>
                <w:sz w:val="20"/>
                <w:szCs w:val="22"/>
                <w:lang w:val="en-US" w:eastAsia="en-US" w:bidi="ar-SA"/>
              </w:rPr>
              <w:t>be</w:t>
            </w:r>
            <w:r>
              <w:rPr>
                <w:rFonts w:ascii="Arial" w:eastAsia="Arial" w:hAnsi="Arial" w:cs="Arial"/>
                <w:spacing w:val="-5"/>
                <w:sz w:val="20"/>
                <w:szCs w:val="22"/>
                <w:lang w:val="en-US" w:eastAsia="en-US" w:bidi="ar-SA"/>
              </w:rPr>
              <w:t xml:space="preserve"> </w:t>
            </w:r>
            <w:r>
              <w:rPr>
                <w:rFonts w:ascii="Arial" w:eastAsia="Arial" w:hAnsi="Arial" w:cs="Arial"/>
                <w:sz w:val="20"/>
                <w:szCs w:val="22"/>
                <w:lang w:val="en-US" w:eastAsia="en-US" w:bidi="ar-SA"/>
              </w:rPr>
              <w:t>raised</w:t>
            </w:r>
            <w:r>
              <w:rPr>
                <w:rFonts w:ascii="Arial" w:eastAsia="Arial" w:hAnsi="Arial" w:cs="Arial"/>
                <w:spacing w:val="-5"/>
                <w:sz w:val="20"/>
                <w:szCs w:val="22"/>
                <w:lang w:val="en-US" w:eastAsia="en-US" w:bidi="ar-SA"/>
              </w:rPr>
              <w:t xml:space="preserve"> </w:t>
            </w:r>
            <w:r>
              <w:rPr>
                <w:rFonts w:ascii="Arial" w:eastAsia="Arial" w:hAnsi="Arial" w:cs="Arial"/>
                <w:sz w:val="20"/>
                <w:szCs w:val="22"/>
                <w:lang w:val="en-US" w:eastAsia="en-US" w:bidi="ar-SA"/>
              </w:rPr>
              <w:t>by</w:t>
            </w:r>
            <w:r>
              <w:rPr>
                <w:rFonts w:ascii="Arial" w:eastAsia="Arial" w:hAnsi="Arial" w:cs="Arial"/>
                <w:spacing w:val="-4"/>
                <w:sz w:val="20"/>
                <w:szCs w:val="22"/>
                <w:lang w:val="en-US" w:eastAsia="en-US" w:bidi="ar-SA"/>
              </w:rPr>
              <w:t xml:space="preserve"> </w:t>
            </w:r>
            <w:r>
              <w:rPr>
                <w:rFonts w:ascii="Arial" w:eastAsia="Arial" w:hAnsi="Arial" w:cs="Arial"/>
                <w:sz w:val="20"/>
                <w:szCs w:val="22"/>
                <w:lang w:val="en-US" w:eastAsia="en-US" w:bidi="ar-SA"/>
              </w:rPr>
              <w:t>the</w:t>
            </w:r>
            <w:r>
              <w:rPr>
                <w:rFonts w:ascii="Arial" w:eastAsia="Arial" w:hAnsi="Arial" w:cs="Arial"/>
                <w:spacing w:val="-4"/>
                <w:sz w:val="20"/>
                <w:szCs w:val="22"/>
                <w:lang w:val="en-US" w:eastAsia="en-US" w:bidi="ar-SA"/>
              </w:rPr>
              <w:t xml:space="preserve"> </w:t>
            </w:r>
            <w:r>
              <w:rPr>
                <w:rFonts w:ascii="Arial" w:eastAsia="Arial" w:hAnsi="Arial" w:cs="Arial"/>
                <w:spacing w:val="-2"/>
                <w:sz w:val="20"/>
                <w:szCs w:val="22"/>
                <w:lang w:val="en-US" w:eastAsia="en-US" w:bidi="ar-SA"/>
              </w:rPr>
              <w:t>Offering</w:t>
            </w:r>
          </w:p>
        </w:tc>
        <w:tc>
          <w:tcPr>
            <w:tcW w:w="2160" w:type="dxa"/>
          </w:tcPr>
          <w:p w:rsidR="002E558C" w:rsidP="00375B7E" w14:paraId="385CC908" w14:textId="4CADAD4C">
            <w:pPr>
              <w:pStyle w:val="TableParagraph"/>
              <w:keepNext/>
              <w:spacing w:before="119"/>
              <w:ind w:left="0" w:right="104"/>
              <w:jc w:val="right"/>
              <w:rPr>
                <w:rFonts w:ascii="Arial" w:eastAsia="Arial" w:hAnsi="Arial" w:cs="Arial"/>
                <w:sz w:val="20"/>
                <w:szCs w:val="22"/>
                <w:lang w:val="en-US" w:eastAsia="en-US" w:bidi="ar-SA"/>
              </w:rPr>
            </w:pPr>
            <w:r>
              <w:rPr>
                <w:rFonts w:ascii="Arial" w:eastAsia="Arial" w:hAnsi="Arial" w:cs="Arial"/>
                <w:spacing w:val="-2"/>
                <w:sz w:val="20"/>
                <w:szCs w:val="22"/>
                <w:lang w:val="en-US" w:eastAsia="en-US" w:bidi="ar-SA"/>
              </w:rPr>
              <w:t>1,000,000</w:t>
            </w:r>
          </w:p>
        </w:tc>
      </w:tr>
      <w:tr w14:paraId="14EE89D5" w14:textId="2E689BFF" w:rsidTr="002E558C">
        <w:tblPrEx>
          <w:tblW w:w="9845" w:type="dxa"/>
          <w:tblInd w:w="140" w:type="dxa"/>
          <w:tblLayout w:type="fixed"/>
          <w:tblLook w:val="01E0"/>
        </w:tblPrEx>
        <w:trPr>
          <w:trHeight w:val="470"/>
        </w:trPr>
        <w:tc>
          <w:tcPr>
            <w:tcW w:w="430" w:type="dxa"/>
          </w:tcPr>
          <w:p w:rsidR="002E558C" w:rsidP="00375B7E" w14:paraId="1DAD3B51" w14:textId="77777777">
            <w:pPr>
              <w:pStyle w:val="TableParagraph"/>
              <w:keepNext/>
              <w:spacing w:before="120"/>
              <w:ind w:left="107"/>
              <w:rPr>
                <w:rFonts w:ascii="Arial" w:eastAsia="Arial" w:hAnsi="Arial" w:cs="Arial"/>
                <w:sz w:val="20"/>
                <w:szCs w:val="22"/>
                <w:lang w:val="en-US" w:eastAsia="en-US" w:bidi="ar-SA"/>
              </w:rPr>
            </w:pPr>
            <w:r>
              <w:rPr>
                <w:rFonts w:ascii="Arial" w:eastAsia="Arial" w:hAnsi="Arial" w:cs="Arial"/>
                <w:w w:val="99"/>
                <w:sz w:val="20"/>
                <w:szCs w:val="22"/>
                <w:lang w:val="en-US" w:eastAsia="en-US" w:bidi="ar-SA"/>
              </w:rPr>
              <w:t>B</w:t>
            </w:r>
          </w:p>
        </w:tc>
        <w:tc>
          <w:tcPr>
            <w:tcW w:w="7255" w:type="dxa"/>
          </w:tcPr>
          <w:p w:rsidR="002E558C" w:rsidRPr="008D727F" w:rsidP="00375B7E" w14:paraId="19C94920" w14:textId="1D96525D">
            <w:pPr>
              <w:pStyle w:val="TableParagraph"/>
              <w:keepNext/>
              <w:spacing w:before="120"/>
              <w:ind w:left="107"/>
              <w:rPr>
                <w:rFonts w:ascii="Arial" w:eastAsia="Arial" w:hAnsi="Arial" w:cs="Arial"/>
                <w:sz w:val="20"/>
                <w:szCs w:val="22"/>
                <w:vertAlign w:val="superscript"/>
                <w:lang w:val="en-US" w:eastAsia="en-US" w:bidi="ar-SA"/>
              </w:rPr>
            </w:pPr>
            <w:r>
              <w:rPr>
                <w:rFonts w:ascii="Arial" w:eastAsia="Arial" w:hAnsi="Arial" w:cs="Arial"/>
                <w:sz w:val="20"/>
                <w:szCs w:val="22"/>
                <w:lang w:val="en-US" w:eastAsia="en-US" w:bidi="ar-SA"/>
              </w:rPr>
              <w:t>Selling</w:t>
            </w:r>
            <w:r>
              <w:rPr>
                <w:rFonts w:ascii="Arial" w:eastAsia="Arial" w:hAnsi="Arial" w:cs="Arial"/>
                <w:spacing w:val="-11"/>
                <w:sz w:val="20"/>
                <w:szCs w:val="22"/>
                <w:lang w:val="en-US" w:eastAsia="en-US" w:bidi="ar-SA"/>
              </w:rPr>
              <w:t xml:space="preserve"> </w:t>
            </w:r>
            <w:r>
              <w:rPr>
                <w:rFonts w:ascii="Arial" w:eastAsia="Arial" w:hAnsi="Arial" w:cs="Arial"/>
                <w:sz w:val="20"/>
                <w:szCs w:val="22"/>
                <w:lang w:val="en-US" w:eastAsia="en-US" w:bidi="ar-SA"/>
              </w:rPr>
              <w:t>commissions</w:t>
            </w:r>
            <w:r>
              <w:rPr>
                <w:rFonts w:ascii="Arial" w:eastAsia="Arial" w:hAnsi="Arial" w:cs="Arial"/>
                <w:spacing w:val="-10"/>
                <w:sz w:val="20"/>
                <w:szCs w:val="22"/>
                <w:lang w:val="en-US" w:eastAsia="en-US" w:bidi="ar-SA"/>
              </w:rPr>
              <w:t xml:space="preserve"> </w:t>
            </w:r>
            <w:r>
              <w:rPr>
                <w:rFonts w:ascii="Arial" w:eastAsia="Arial" w:hAnsi="Arial" w:cs="Arial"/>
                <w:sz w:val="20"/>
                <w:szCs w:val="22"/>
                <w:lang w:val="en-US" w:eastAsia="en-US" w:bidi="ar-SA"/>
              </w:rPr>
              <w:t>and</w:t>
            </w:r>
            <w:r>
              <w:rPr>
                <w:rFonts w:ascii="Arial" w:eastAsia="Arial" w:hAnsi="Arial" w:cs="Arial"/>
                <w:spacing w:val="-10"/>
                <w:sz w:val="20"/>
                <w:szCs w:val="22"/>
                <w:lang w:val="en-US" w:eastAsia="en-US" w:bidi="ar-SA"/>
              </w:rPr>
              <w:t xml:space="preserve"> </w:t>
            </w:r>
            <w:r>
              <w:rPr>
                <w:rFonts w:ascii="Arial" w:eastAsia="Arial" w:hAnsi="Arial" w:cs="Arial"/>
                <w:spacing w:val="-4"/>
                <w:sz w:val="20"/>
                <w:szCs w:val="22"/>
                <w:lang w:val="en-US" w:eastAsia="en-US" w:bidi="ar-SA"/>
              </w:rPr>
              <w:t>fees</w:t>
            </w:r>
          </w:p>
        </w:tc>
        <w:tc>
          <w:tcPr>
            <w:tcW w:w="2160" w:type="dxa"/>
          </w:tcPr>
          <w:p w:rsidR="002E558C" w:rsidP="00375B7E" w14:paraId="5A071B07" w14:textId="13699EC0">
            <w:pPr>
              <w:pStyle w:val="TableParagraph"/>
              <w:keepNext/>
              <w:spacing w:before="120"/>
              <w:ind w:left="0" w:right="101"/>
              <w:jc w:val="right"/>
              <w:rPr>
                <w:rFonts w:ascii="Arial" w:eastAsia="Arial" w:hAnsi="Arial" w:cs="Arial"/>
                <w:sz w:val="20"/>
                <w:szCs w:val="22"/>
                <w:lang w:val="en-US" w:eastAsia="en-US" w:bidi="ar-SA"/>
              </w:rPr>
            </w:pPr>
            <w:r>
              <w:rPr>
                <w:rFonts w:ascii="Arial" w:eastAsia="Arial" w:hAnsi="Arial" w:cs="Arial"/>
                <w:sz w:val="20"/>
                <w:szCs w:val="22"/>
                <w:lang w:val="en-US" w:eastAsia="en-US" w:bidi="ar-SA"/>
              </w:rPr>
              <w:t>Nil</w:t>
            </w:r>
            <w:r w:rsidRPr="00317C34">
              <w:rPr>
                <w:rFonts w:ascii="Arial" w:eastAsia="Arial" w:hAnsi="Arial" w:cs="Arial"/>
                <w:sz w:val="20"/>
                <w:szCs w:val="22"/>
                <w:vertAlign w:val="superscript"/>
                <w:lang w:val="en-US" w:eastAsia="en-US" w:bidi="ar-SA"/>
              </w:rPr>
              <w:t>(1)</w:t>
            </w:r>
          </w:p>
        </w:tc>
      </w:tr>
      <w:tr w14:paraId="56843C02" w14:textId="5FFBA43C" w:rsidTr="002E558C">
        <w:tblPrEx>
          <w:tblW w:w="9845" w:type="dxa"/>
          <w:tblInd w:w="140" w:type="dxa"/>
          <w:tblLayout w:type="fixed"/>
          <w:tblLook w:val="01E0"/>
        </w:tblPrEx>
        <w:trPr>
          <w:trHeight w:val="470"/>
        </w:trPr>
        <w:tc>
          <w:tcPr>
            <w:tcW w:w="430" w:type="dxa"/>
          </w:tcPr>
          <w:p w:rsidR="002E558C" w:rsidP="003F1206" w14:paraId="1E2A7E28" w14:textId="77777777">
            <w:pPr>
              <w:pStyle w:val="TableParagraph"/>
              <w:spacing w:before="119"/>
              <w:ind w:left="107"/>
              <w:rPr>
                <w:rFonts w:ascii="Arial" w:eastAsia="Arial" w:hAnsi="Arial" w:cs="Arial"/>
                <w:sz w:val="20"/>
                <w:szCs w:val="22"/>
                <w:lang w:val="en-US" w:eastAsia="en-US" w:bidi="ar-SA"/>
              </w:rPr>
            </w:pPr>
            <w:r>
              <w:rPr>
                <w:rFonts w:ascii="Arial" w:eastAsia="Arial" w:hAnsi="Arial" w:cs="Arial"/>
                <w:w w:val="99"/>
                <w:sz w:val="20"/>
                <w:szCs w:val="22"/>
                <w:lang w:val="en-US" w:eastAsia="en-US" w:bidi="ar-SA"/>
              </w:rPr>
              <w:t>C</w:t>
            </w:r>
          </w:p>
        </w:tc>
        <w:tc>
          <w:tcPr>
            <w:tcW w:w="7255" w:type="dxa"/>
          </w:tcPr>
          <w:p w:rsidR="002E558C" w:rsidP="003F1206" w14:paraId="5F368CD6" w14:textId="77777777">
            <w:pPr>
              <w:pStyle w:val="TableParagraph"/>
              <w:spacing w:before="119"/>
              <w:ind w:left="107"/>
              <w:rPr>
                <w:rFonts w:ascii="Arial" w:eastAsia="Arial" w:hAnsi="Arial" w:cs="Arial"/>
                <w:sz w:val="20"/>
                <w:szCs w:val="22"/>
                <w:lang w:val="en-US" w:eastAsia="en-US" w:bidi="ar-SA"/>
              </w:rPr>
            </w:pPr>
            <w:r>
              <w:rPr>
                <w:rFonts w:ascii="Arial" w:eastAsia="Arial" w:hAnsi="Arial" w:cs="Arial"/>
                <w:sz w:val="20"/>
                <w:szCs w:val="22"/>
                <w:lang w:val="en-US" w:eastAsia="en-US" w:bidi="ar-SA"/>
              </w:rPr>
              <w:t>Estimated</w:t>
            </w:r>
            <w:r>
              <w:rPr>
                <w:rFonts w:ascii="Arial" w:eastAsia="Arial" w:hAnsi="Arial" w:cs="Arial"/>
                <w:spacing w:val="-10"/>
                <w:sz w:val="20"/>
                <w:szCs w:val="22"/>
                <w:lang w:val="en-US" w:eastAsia="en-US" w:bidi="ar-SA"/>
              </w:rPr>
              <w:t xml:space="preserve"> </w:t>
            </w:r>
            <w:r>
              <w:rPr>
                <w:rFonts w:ascii="Arial" w:eastAsia="Arial" w:hAnsi="Arial" w:cs="Arial"/>
                <w:sz w:val="20"/>
                <w:szCs w:val="22"/>
                <w:lang w:val="en-US" w:eastAsia="en-US" w:bidi="ar-SA"/>
              </w:rPr>
              <w:t>Offering</w:t>
            </w:r>
            <w:r>
              <w:rPr>
                <w:rFonts w:ascii="Arial" w:eastAsia="Arial" w:hAnsi="Arial" w:cs="Arial"/>
                <w:spacing w:val="-10"/>
                <w:sz w:val="20"/>
                <w:szCs w:val="22"/>
                <w:lang w:val="en-US" w:eastAsia="en-US" w:bidi="ar-SA"/>
              </w:rPr>
              <w:t xml:space="preserve"> </w:t>
            </w:r>
            <w:r>
              <w:rPr>
                <w:rFonts w:ascii="Arial" w:eastAsia="Arial" w:hAnsi="Arial" w:cs="Arial"/>
                <w:sz w:val="20"/>
                <w:szCs w:val="22"/>
                <w:lang w:val="en-US" w:eastAsia="en-US" w:bidi="ar-SA"/>
              </w:rPr>
              <w:t>costs</w:t>
            </w:r>
            <w:r>
              <w:rPr>
                <w:rFonts w:ascii="Arial" w:eastAsia="Arial" w:hAnsi="Arial" w:cs="Arial"/>
                <w:spacing w:val="-8"/>
                <w:sz w:val="20"/>
                <w:szCs w:val="22"/>
                <w:lang w:val="en-US" w:eastAsia="en-US" w:bidi="ar-SA"/>
              </w:rPr>
              <w:t xml:space="preserve"> </w:t>
            </w:r>
            <w:r>
              <w:rPr>
                <w:rFonts w:ascii="Arial" w:eastAsia="Arial" w:hAnsi="Arial" w:cs="Arial"/>
                <w:sz w:val="20"/>
                <w:szCs w:val="22"/>
                <w:lang w:val="en-US" w:eastAsia="en-US" w:bidi="ar-SA"/>
              </w:rPr>
              <w:t>(e.g.,</w:t>
            </w:r>
            <w:r>
              <w:rPr>
                <w:rFonts w:ascii="Arial" w:eastAsia="Arial" w:hAnsi="Arial" w:cs="Arial"/>
                <w:spacing w:val="-10"/>
                <w:sz w:val="20"/>
                <w:szCs w:val="22"/>
                <w:lang w:val="en-US" w:eastAsia="en-US" w:bidi="ar-SA"/>
              </w:rPr>
              <w:t xml:space="preserve"> </w:t>
            </w:r>
            <w:r>
              <w:rPr>
                <w:rFonts w:ascii="Arial" w:eastAsia="Arial" w:hAnsi="Arial" w:cs="Arial"/>
                <w:sz w:val="20"/>
                <w:szCs w:val="22"/>
                <w:lang w:val="en-US" w:eastAsia="en-US" w:bidi="ar-SA"/>
              </w:rPr>
              <w:t>legal,</w:t>
            </w:r>
            <w:r>
              <w:rPr>
                <w:rFonts w:ascii="Arial" w:eastAsia="Arial" w:hAnsi="Arial" w:cs="Arial"/>
                <w:spacing w:val="-7"/>
                <w:sz w:val="20"/>
                <w:szCs w:val="22"/>
                <w:lang w:val="en-US" w:eastAsia="en-US" w:bidi="ar-SA"/>
              </w:rPr>
              <w:t xml:space="preserve"> </w:t>
            </w:r>
            <w:r>
              <w:rPr>
                <w:rFonts w:ascii="Arial" w:eastAsia="Arial" w:hAnsi="Arial" w:cs="Arial"/>
                <w:sz w:val="20"/>
                <w:szCs w:val="22"/>
                <w:lang w:val="en-US" w:eastAsia="en-US" w:bidi="ar-SA"/>
              </w:rPr>
              <w:t>accounting,</w:t>
            </w:r>
            <w:r>
              <w:rPr>
                <w:rFonts w:ascii="Arial" w:eastAsia="Arial" w:hAnsi="Arial" w:cs="Arial"/>
                <w:spacing w:val="-10"/>
                <w:sz w:val="20"/>
                <w:szCs w:val="22"/>
                <w:lang w:val="en-US" w:eastAsia="en-US" w:bidi="ar-SA"/>
              </w:rPr>
              <w:t xml:space="preserve"> </w:t>
            </w:r>
            <w:r>
              <w:rPr>
                <w:rFonts w:ascii="Arial" w:eastAsia="Arial" w:hAnsi="Arial" w:cs="Arial"/>
                <w:spacing w:val="-2"/>
                <w:sz w:val="20"/>
                <w:szCs w:val="22"/>
                <w:lang w:val="en-US" w:eastAsia="en-US" w:bidi="ar-SA"/>
              </w:rPr>
              <w:t>audit)</w:t>
            </w:r>
          </w:p>
        </w:tc>
        <w:tc>
          <w:tcPr>
            <w:tcW w:w="2160" w:type="dxa"/>
          </w:tcPr>
          <w:p w:rsidR="002E558C" w:rsidP="003F1206" w14:paraId="4AC5D272" w14:textId="6DDD96ED">
            <w:pPr>
              <w:pStyle w:val="TableParagraph"/>
              <w:spacing w:before="119"/>
              <w:ind w:left="0" w:right="102"/>
              <w:jc w:val="right"/>
              <w:rPr>
                <w:rFonts w:ascii="Arial" w:eastAsia="Arial" w:hAnsi="Arial" w:cs="Arial"/>
                <w:sz w:val="20"/>
                <w:szCs w:val="22"/>
                <w:lang w:val="en-US" w:eastAsia="en-US" w:bidi="ar-SA"/>
              </w:rPr>
            </w:pPr>
            <w:r>
              <w:rPr>
                <w:rFonts w:ascii="Arial" w:eastAsia="Arial" w:hAnsi="Arial" w:cs="Arial"/>
                <w:sz w:val="20"/>
                <w:szCs w:val="22"/>
                <w:lang w:val="en-US" w:eastAsia="en-US" w:bidi="ar-SA"/>
              </w:rPr>
              <w:t>25,000</w:t>
            </w:r>
          </w:p>
        </w:tc>
      </w:tr>
      <w:tr w14:paraId="3021797B" w14:textId="30B19D5F" w:rsidTr="002E558C">
        <w:tblPrEx>
          <w:tblW w:w="9845" w:type="dxa"/>
          <w:tblInd w:w="140" w:type="dxa"/>
          <w:tblLayout w:type="fixed"/>
          <w:tblLook w:val="01E0"/>
        </w:tblPrEx>
        <w:trPr>
          <w:trHeight w:val="469"/>
        </w:trPr>
        <w:tc>
          <w:tcPr>
            <w:tcW w:w="430" w:type="dxa"/>
          </w:tcPr>
          <w:p w:rsidR="002E558C" w:rsidP="003F1206" w14:paraId="29FEF6EA" w14:textId="77777777">
            <w:pPr>
              <w:pStyle w:val="TableParagraph"/>
              <w:spacing w:before="119"/>
              <w:ind w:left="107"/>
              <w:rPr>
                <w:rFonts w:ascii="Arial" w:eastAsia="Arial" w:hAnsi="Arial" w:cs="Arial"/>
                <w:sz w:val="20"/>
                <w:szCs w:val="22"/>
                <w:lang w:val="en-US" w:eastAsia="en-US" w:bidi="ar-SA"/>
              </w:rPr>
            </w:pPr>
            <w:r>
              <w:rPr>
                <w:rFonts w:ascii="Arial" w:eastAsia="Arial" w:hAnsi="Arial" w:cs="Arial"/>
                <w:w w:val="99"/>
                <w:sz w:val="20"/>
                <w:szCs w:val="22"/>
                <w:lang w:val="en-US" w:eastAsia="en-US" w:bidi="ar-SA"/>
              </w:rPr>
              <w:t>D</w:t>
            </w:r>
          </w:p>
        </w:tc>
        <w:tc>
          <w:tcPr>
            <w:tcW w:w="7255" w:type="dxa"/>
          </w:tcPr>
          <w:p w:rsidR="002E558C" w:rsidP="003F1206" w14:paraId="35532ED9" w14:textId="77777777">
            <w:pPr>
              <w:pStyle w:val="TableParagraph"/>
              <w:spacing w:before="119"/>
              <w:ind w:left="107"/>
              <w:rPr>
                <w:rFonts w:ascii="Arial" w:eastAsia="Arial" w:hAnsi="Arial" w:cs="Arial"/>
                <w:sz w:val="20"/>
                <w:szCs w:val="22"/>
                <w:lang w:val="en-US" w:eastAsia="en-US" w:bidi="ar-SA"/>
              </w:rPr>
            </w:pPr>
            <w:r>
              <w:rPr>
                <w:rFonts w:ascii="Arial" w:eastAsia="Arial" w:hAnsi="Arial" w:cs="Arial"/>
                <w:sz w:val="20"/>
                <w:szCs w:val="22"/>
                <w:lang w:val="en-US" w:eastAsia="en-US" w:bidi="ar-SA"/>
              </w:rPr>
              <w:t>Net</w:t>
            </w:r>
            <w:r>
              <w:rPr>
                <w:rFonts w:ascii="Arial" w:eastAsia="Arial" w:hAnsi="Arial" w:cs="Arial"/>
                <w:spacing w:val="-5"/>
                <w:sz w:val="20"/>
                <w:szCs w:val="22"/>
                <w:lang w:val="en-US" w:eastAsia="en-US" w:bidi="ar-SA"/>
              </w:rPr>
              <w:t xml:space="preserve"> </w:t>
            </w:r>
            <w:r>
              <w:rPr>
                <w:rFonts w:ascii="Arial" w:eastAsia="Arial" w:hAnsi="Arial" w:cs="Arial"/>
                <w:sz w:val="20"/>
                <w:szCs w:val="22"/>
                <w:lang w:val="en-US" w:eastAsia="en-US" w:bidi="ar-SA"/>
              </w:rPr>
              <w:t>proceeds</w:t>
            </w:r>
            <w:r>
              <w:rPr>
                <w:rFonts w:ascii="Arial" w:eastAsia="Arial" w:hAnsi="Arial" w:cs="Arial"/>
                <w:spacing w:val="-3"/>
                <w:sz w:val="20"/>
                <w:szCs w:val="22"/>
                <w:lang w:val="en-US" w:eastAsia="en-US" w:bidi="ar-SA"/>
              </w:rPr>
              <w:t xml:space="preserve"> </w:t>
            </w:r>
            <w:r>
              <w:rPr>
                <w:rFonts w:ascii="Arial" w:eastAsia="Arial" w:hAnsi="Arial" w:cs="Arial"/>
                <w:sz w:val="20"/>
                <w:szCs w:val="22"/>
                <w:lang w:val="en-US" w:eastAsia="en-US" w:bidi="ar-SA"/>
              </w:rPr>
              <w:t>of</w:t>
            </w:r>
            <w:r>
              <w:rPr>
                <w:rFonts w:ascii="Arial" w:eastAsia="Arial" w:hAnsi="Arial" w:cs="Arial"/>
                <w:spacing w:val="-5"/>
                <w:sz w:val="20"/>
                <w:szCs w:val="22"/>
                <w:lang w:val="en-US" w:eastAsia="en-US" w:bidi="ar-SA"/>
              </w:rPr>
              <w:t xml:space="preserve"> </w:t>
            </w:r>
            <w:r>
              <w:rPr>
                <w:rFonts w:ascii="Arial" w:eastAsia="Arial" w:hAnsi="Arial" w:cs="Arial"/>
                <w:sz w:val="20"/>
                <w:szCs w:val="22"/>
                <w:lang w:val="en-US" w:eastAsia="en-US" w:bidi="ar-SA"/>
              </w:rPr>
              <w:t>Offering:</w:t>
            </w:r>
            <w:r>
              <w:rPr>
                <w:rFonts w:ascii="Arial" w:eastAsia="Arial" w:hAnsi="Arial" w:cs="Arial"/>
                <w:spacing w:val="-4"/>
                <w:sz w:val="20"/>
                <w:szCs w:val="22"/>
                <w:lang w:val="en-US" w:eastAsia="en-US" w:bidi="ar-SA"/>
              </w:rPr>
              <w:t xml:space="preserve"> </w:t>
            </w:r>
            <w:r>
              <w:rPr>
                <w:rFonts w:ascii="Arial" w:eastAsia="Arial" w:hAnsi="Arial" w:cs="Arial"/>
                <w:sz w:val="20"/>
                <w:szCs w:val="22"/>
                <w:lang w:val="en-US" w:eastAsia="en-US" w:bidi="ar-SA"/>
              </w:rPr>
              <w:t>D</w:t>
            </w:r>
            <w:r>
              <w:rPr>
                <w:rFonts w:ascii="Arial" w:eastAsia="Arial" w:hAnsi="Arial" w:cs="Arial"/>
                <w:spacing w:val="-2"/>
                <w:sz w:val="20"/>
                <w:szCs w:val="22"/>
                <w:lang w:val="en-US" w:eastAsia="en-US" w:bidi="ar-SA"/>
              </w:rPr>
              <w:t xml:space="preserve"> </w:t>
            </w:r>
            <w:r>
              <w:rPr>
                <w:rFonts w:ascii="Arial" w:eastAsia="Arial" w:hAnsi="Arial" w:cs="Arial"/>
                <w:sz w:val="20"/>
                <w:szCs w:val="22"/>
                <w:lang w:val="en-US" w:eastAsia="en-US" w:bidi="ar-SA"/>
              </w:rPr>
              <w:t>=</w:t>
            </w:r>
            <w:r>
              <w:rPr>
                <w:rFonts w:ascii="Arial" w:eastAsia="Arial" w:hAnsi="Arial" w:cs="Arial"/>
                <w:spacing w:val="-4"/>
                <w:sz w:val="20"/>
                <w:szCs w:val="22"/>
                <w:lang w:val="en-US" w:eastAsia="en-US" w:bidi="ar-SA"/>
              </w:rPr>
              <w:t xml:space="preserve"> </w:t>
            </w:r>
            <w:r>
              <w:rPr>
                <w:rFonts w:ascii="Arial" w:eastAsia="Arial" w:hAnsi="Arial" w:cs="Arial"/>
                <w:sz w:val="20"/>
                <w:szCs w:val="22"/>
                <w:lang w:val="en-US" w:eastAsia="en-US" w:bidi="ar-SA"/>
              </w:rPr>
              <w:t>A</w:t>
            </w:r>
            <w:r>
              <w:rPr>
                <w:rFonts w:ascii="Arial" w:eastAsia="Arial" w:hAnsi="Arial" w:cs="Arial"/>
                <w:spacing w:val="-2"/>
                <w:sz w:val="20"/>
                <w:szCs w:val="22"/>
                <w:lang w:val="en-US" w:eastAsia="en-US" w:bidi="ar-SA"/>
              </w:rPr>
              <w:t xml:space="preserve"> </w:t>
            </w:r>
            <w:r>
              <w:rPr>
                <w:rFonts w:ascii="Arial" w:eastAsia="Arial" w:hAnsi="Arial" w:cs="Arial"/>
                <w:sz w:val="20"/>
                <w:szCs w:val="22"/>
                <w:lang w:val="en-US" w:eastAsia="en-US" w:bidi="ar-SA"/>
              </w:rPr>
              <w:t>–</w:t>
            </w:r>
            <w:r>
              <w:rPr>
                <w:rFonts w:ascii="Arial" w:eastAsia="Arial" w:hAnsi="Arial" w:cs="Arial"/>
                <w:spacing w:val="-4"/>
                <w:sz w:val="20"/>
                <w:szCs w:val="22"/>
                <w:lang w:val="en-US" w:eastAsia="en-US" w:bidi="ar-SA"/>
              </w:rPr>
              <w:t xml:space="preserve"> </w:t>
            </w:r>
            <w:r>
              <w:rPr>
                <w:rFonts w:ascii="Arial" w:eastAsia="Arial" w:hAnsi="Arial" w:cs="Arial"/>
                <w:sz w:val="20"/>
                <w:szCs w:val="22"/>
                <w:lang w:val="en-US" w:eastAsia="en-US" w:bidi="ar-SA"/>
              </w:rPr>
              <w:t>(B</w:t>
            </w:r>
            <w:r>
              <w:rPr>
                <w:rFonts w:ascii="Arial" w:eastAsia="Arial" w:hAnsi="Arial" w:cs="Arial"/>
                <w:spacing w:val="-4"/>
                <w:sz w:val="20"/>
                <w:szCs w:val="22"/>
                <w:lang w:val="en-US" w:eastAsia="en-US" w:bidi="ar-SA"/>
              </w:rPr>
              <w:t xml:space="preserve"> </w:t>
            </w:r>
            <w:r>
              <w:rPr>
                <w:rFonts w:ascii="Arial" w:eastAsia="Arial" w:hAnsi="Arial" w:cs="Arial"/>
                <w:spacing w:val="-5"/>
                <w:sz w:val="20"/>
                <w:szCs w:val="22"/>
                <w:lang w:val="en-US" w:eastAsia="en-US" w:bidi="ar-SA"/>
              </w:rPr>
              <w:t>+C)</w:t>
            </w:r>
          </w:p>
        </w:tc>
        <w:tc>
          <w:tcPr>
            <w:tcW w:w="2160" w:type="dxa"/>
          </w:tcPr>
          <w:p w:rsidR="002E558C" w:rsidRPr="00554340" w:rsidP="003F1206" w14:paraId="53390B61" w14:textId="57D17E1A">
            <w:pPr>
              <w:pStyle w:val="TableParagraph"/>
              <w:spacing w:before="119"/>
              <w:ind w:left="0" w:right="102"/>
              <w:jc w:val="right"/>
              <w:rPr>
                <w:rFonts w:ascii="Arial" w:eastAsia="Arial" w:hAnsi="Arial" w:cs="Arial"/>
                <w:spacing w:val="-2"/>
                <w:sz w:val="20"/>
                <w:szCs w:val="22"/>
                <w:lang w:val="en-US" w:eastAsia="en-US" w:bidi="ar-SA"/>
              </w:rPr>
            </w:pPr>
            <w:r>
              <w:rPr>
                <w:rFonts w:ascii="Arial" w:eastAsia="Arial" w:hAnsi="Arial" w:cs="Arial"/>
                <w:sz w:val="20"/>
                <w:szCs w:val="22"/>
                <w:lang w:val="en-US" w:eastAsia="en-US" w:bidi="ar-SA"/>
              </w:rPr>
              <w:t>9</w:t>
            </w:r>
            <w:r w:rsidR="002726BA">
              <w:rPr>
                <w:rFonts w:ascii="Arial" w:eastAsia="Arial" w:hAnsi="Arial" w:cs="Arial"/>
                <w:sz w:val="20"/>
                <w:szCs w:val="22"/>
                <w:lang w:val="en-US" w:eastAsia="en-US" w:bidi="ar-SA"/>
              </w:rPr>
              <w:t>7</w:t>
            </w:r>
            <w:r>
              <w:rPr>
                <w:rFonts w:ascii="Arial" w:eastAsia="Arial" w:hAnsi="Arial" w:cs="Arial"/>
                <w:sz w:val="20"/>
                <w:szCs w:val="22"/>
                <w:lang w:val="en-US" w:eastAsia="en-US" w:bidi="ar-SA"/>
              </w:rPr>
              <w:t>5,000</w:t>
            </w:r>
          </w:p>
        </w:tc>
      </w:tr>
      <w:tr w14:paraId="51683120" w14:textId="7608EE98" w:rsidTr="002E558C">
        <w:tblPrEx>
          <w:tblW w:w="9845" w:type="dxa"/>
          <w:tblInd w:w="140" w:type="dxa"/>
          <w:tblLayout w:type="fixed"/>
          <w:tblLook w:val="01E0"/>
        </w:tblPrEx>
        <w:trPr>
          <w:trHeight w:val="469"/>
        </w:trPr>
        <w:tc>
          <w:tcPr>
            <w:tcW w:w="430" w:type="dxa"/>
          </w:tcPr>
          <w:p w:rsidR="002E558C" w:rsidP="003F1206" w14:paraId="0F3E29D2" w14:textId="77777777">
            <w:pPr>
              <w:pStyle w:val="TableParagraph"/>
              <w:spacing w:before="119"/>
              <w:ind w:left="107"/>
              <w:rPr>
                <w:rFonts w:ascii="Arial" w:eastAsia="Arial" w:hAnsi="Arial" w:cs="Arial"/>
                <w:sz w:val="20"/>
                <w:szCs w:val="22"/>
                <w:lang w:val="en-US" w:eastAsia="en-US" w:bidi="ar-SA"/>
              </w:rPr>
            </w:pPr>
            <w:r>
              <w:rPr>
                <w:rFonts w:ascii="Arial" w:eastAsia="Arial" w:hAnsi="Arial" w:cs="Arial"/>
                <w:w w:val="99"/>
                <w:sz w:val="20"/>
                <w:szCs w:val="22"/>
                <w:lang w:val="en-US" w:eastAsia="en-US" w:bidi="ar-SA"/>
              </w:rPr>
              <w:t>E</w:t>
            </w:r>
          </w:p>
        </w:tc>
        <w:tc>
          <w:tcPr>
            <w:tcW w:w="7255" w:type="dxa"/>
          </w:tcPr>
          <w:p w:rsidR="002E558C" w:rsidP="003F1206" w14:paraId="5ED7115D" w14:textId="35EA0E38">
            <w:pPr>
              <w:pStyle w:val="TableParagraph"/>
              <w:spacing w:before="119"/>
              <w:ind w:left="107"/>
              <w:rPr>
                <w:rFonts w:ascii="Arial" w:eastAsia="Arial" w:hAnsi="Arial" w:cs="Arial"/>
                <w:sz w:val="20"/>
                <w:szCs w:val="22"/>
                <w:lang w:val="en-US" w:eastAsia="en-US" w:bidi="ar-SA"/>
              </w:rPr>
            </w:pPr>
            <w:r>
              <w:rPr>
                <w:rFonts w:ascii="Arial" w:eastAsia="Arial" w:hAnsi="Arial" w:cs="Arial"/>
                <w:sz w:val="20"/>
                <w:szCs w:val="22"/>
                <w:lang w:val="en-US" w:eastAsia="en-US" w:bidi="ar-SA"/>
              </w:rPr>
              <w:t>Working</w:t>
            </w:r>
            <w:r>
              <w:rPr>
                <w:rFonts w:ascii="Arial" w:eastAsia="Arial" w:hAnsi="Arial" w:cs="Arial"/>
                <w:spacing w:val="-7"/>
                <w:sz w:val="20"/>
                <w:szCs w:val="22"/>
                <w:lang w:val="en-US" w:eastAsia="en-US" w:bidi="ar-SA"/>
              </w:rPr>
              <w:t xml:space="preserve"> </w:t>
            </w:r>
            <w:r>
              <w:rPr>
                <w:rFonts w:ascii="Arial" w:eastAsia="Arial" w:hAnsi="Arial" w:cs="Arial"/>
                <w:sz w:val="20"/>
                <w:szCs w:val="22"/>
                <w:lang w:val="en-US" w:eastAsia="en-US" w:bidi="ar-SA"/>
              </w:rPr>
              <w:t>capital</w:t>
            </w:r>
            <w:r>
              <w:rPr>
                <w:rFonts w:ascii="Arial" w:eastAsia="Arial" w:hAnsi="Arial" w:cs="Arial"/>
                <w:spacing w:val="-6"/>
                <w:sz w:val="20"/>
                <w:szCs w:val="22"/>
                <w:lang w:val="en-US" w:eastAsia="en-US" w:bidi="ar-SA"/>
              </w:rPr>
              <w:t xml:space="preserve"> </w:t>
            </w:r>
            <w:r>
              <w:rPr>
                <w:rFonts w:ascii="Arial" w:eastAsia="Arial" w:hAnsi="Arial" w:cs="Arial"/>
                <w:sz w:val="20"/>
                <w:szCs w:val="22"/>
                <w:lang w:val="en-US" w:eastAsia="en-US" w:bidi="ar-SA"/>
              </w:rPr>
              <w:t>as</w:t>
            </w:r>
            <w:r>
              <w:rPr>
                <w:rFonts w:ascii="Arial" w:eastAsia="Arial" w:hAnsi="Arial" w:cs="Arial"/>
                <w:spacing w:val="-6"/>
                <w:sz w:val="20"/>
                <w:szCs w:val="22"/>
                <w:lang w:val="en-US" w:eastAsia="en-US" w:bidi="ar-SA"/>
              </w:rPr>
              <w:t xml:space="preserve"> </w:t>
            </w:r>
            <w:r>
              <w:rPr>
                <w:rFonts w:ascii="Arial" w:eastAsia="Arial" w:hAnsi="Arial" w:cs="Arial"/>
                <w:sz w:val="20"/>
                <w:szCs w:val="22"/>
                <w:lang w:val="en-US" w:eastAsia="en-US" w:bidi="ar-SA"/>
              </w:rPr>
              <w:t>at</w:t>
            </w:r>
            <w:r>
              <w:rPr>
                <w:rFonts w:ascii="Arial" w:eastAsia="Arial" w:hAnsi="Arial" w:cs="Arial"/>
                <w:spacing w:val="-6"/>
                <w:sz w:val="20"/>
                <w:szCs w:val="22"/>
                <w:lang w:val="en-US" w:eastAsia="en-US" w:bidi="ar-SA"/>
              </w:rPr>
              <w:t xml:space="preserve"> </w:t>
            </w:r>
            <w:r>
              <w:rPr>
                <w:rFonts w:ascii="Arial" w:eastAsia="Arial" w:hAnsi="Arial" w:cs="Arial"/>
                <w:sz w:val="20"/>
                <w:szCs w:val="22"/>
                <w:lang w:val="en-US" w:eastAsia="en-US" w:bidi="ar-SA"/>
              </w:rPr>
              <w:t>April 30, 2025 (estimate only)</w:t>
            </w:r>
            <w:r w:rsidRPr="00375B7E">
              <w:rPr>
                <w:rFonts w:ascii="Arial" w:eastAsia="Arial" w:hAnsi="Arial" w:cs="Arial"/>
                <w:sz w:val="20"/>
                <w:szCs w:val="22"/>
                <w:vertAlign w:val="superscript"/>
                <w:lang w:val="en-US" w:eastAsia="en-US" w:bidi="ar-SA"/>
              </w:rPr>
              <w:t>(2)</w:t>
            </w:r>
          </w:p>
        </w:tc>
        <w:tc>
          <w:tcPr>
            <w:tcW w:w="2160" w:type="dxa"/>
          </w:tcPr>
          <w:p w:rsidR="002E558C" w:rsidRPr="0093649B" w:rsidP="0093649B" w14:paraId="7BC1FFD6" w14:textId="41D1176A">
            <w:pPr>
              <w:pStyle w:val="TableParagraph"/>
              <w:spacing w:before="119"/>
              <w:ind w:left="0" w:right="102"/>
              <w:jc w:val="right"/>
              <w:rPr>
                <w:rFonts w:ascii="Arial" w:eastAsia="Arial" w:hAnsi="Arial" w:cs="Arial"/>
                <w:sz w:val="20"/>
                <w:szCs w:val="22"/>
                <w:lang w:val="en-US" w:eastAsia="en-US" w:bidi="ar-SA"/>
              </w:rPr>
            </w:pPr>
            <w:r w:rsidRPr="0093649B">
              <w:rPr>
                <w:rFonts w:ascii="Arial" w:eastAsia="Arial" w:hAnsi="Arial" w:cs="Arial"/>
                <w:sz w:val="20"/>
                <w:szCs w:val="22"/>
                <w:lang w:val="en-US" w:eastAsia="en-US" w:bidi="ar-SA"/>
              </w:rPr>
              <w:t>2,021,800</w:t>
            </w:r>
          </w:p>
        </w:tc>
      </w:tr>
      <w:tr w14:paraId="24E3210E" w14:textId="19265A9C" w:rsidTr="002E558C">
        <w:tblPrEx>
          <w:tblW w:w="9845" w:type="dxa"/>
          <w:tblInd w:w="140" w:type="dxa"/>
          <w:tblLayout w:type="fixed"/>
          <w:tblLook w:val="01E0"/>
        </w:tblPrEx>
        <w:trPr>
          <w:trHeight w:val="465"/>
        </w:trPr>
        <w:tc>
          <w:tcPr>
            <w:tcW w:w="430" w:type="dxa"/>
            <w:tcBorders>
              <w:bottom w:val="double" w:sz="4" w:space="0" w:color="000000"/>
            </w:tcBorders>
          </w:tcPr>
          <w:p w:rsidR="002E558C" w:rsidP="003F1206" w14:paraId="2531758A" w14:textId="77777777">
            <w:pPr>
              <w:pStyle w:val="TableParagraph"/>
              <w:spacing w:before="119"/>
              <w:ind w:left="107"/>
              <w:rPr>
                <w:rFonts w:ascii="Arial" w:eastAsia="Arial" w:hAnsi="Arial" w:cs="Arial"/>
                <w:sz w:val="20"/>
                <w:szCs w:val="22"/>
                <w:lang w:val="en-US" w:eastAsia="en-US" w:bidi="ar-SA"/>
              </w:rPr>
            </w:pPr>
            <w:r>
              <w:rPr>
                <w:rFonts w:ascii="Arial" w:eastAsia="Arial" w:hAnsi="Arial" w:cs="Arial"/>
                <w:w w:val="99"/>
                <w:sz w:val="20"/>
                <w:szCs w:val="22"/>
                <w:lang w:val="en-US" w:eastAsia="en-US" w:bidi="ar-SA"/>
              </w:rPr>
              <w:t>F</w:t>
            </w:r>
          </w:p>
        </w:tc>
        <w:tc>
          <w:tcPr>
            <w:tcW w:w="7255" w:type="dxa"/>
            <w:tcBorders>
              <w:bottom w:val="double" w:sz="4" w:space="0" w:color="000000"/>
            </w:tcBorders>
          </w:tcPr>
          <w:p w:rsidR="002E558C" w:rsidP="003F1206" w14:paraId="7576EB99" w14:textId="77777777">
            <w:pPr>
              <w:pStyle w:val="TableParagraph"/>
              <w:spacing w:before="119"/>
              <w:ind w:left="107"/>
              <w:rPr>
                <w:rFonts w:ascii="Arial" w:eastAsia="Arial" w:hAnsi="Arial" w:cs="Arial"/>
                <w:sz w:val="20"/>
                <w:szCs w:val="22"/>
                <w:lang w:val="en-US" w:eastAsia="en-US" w:bidi="ar-SA"/>
              </w:rPr>
            </w:pPr>
            <w:r>
              <w:rPr>
                <w:rFonts w:ascii="Arial" w:eastAsia="Arial" w:hAnsi="Arial" w:cs="Arial"/>
                <w:sz w:val="20"/>
                <w:szCs w:val="22"/>
                <w:lang w:val="en-US" w:eastAsia="en-US" w:bidi="ar-SA"/>
              </w:rPr>
              <w:t>Additional</w:t>
            </w:r>
            <w:r>
              <w:rPr>
                <w:rFonts w:ascii="Arial" w:eastAsia="Arial" w:hAnsi="Arial" w:cs="Arial"/>
                <w:spacing w:val="-10"/>
                <w:sz w:val="20"/>
                <w:szCs w:val="22"/>
                <w:lang w:val="en-US" w:eastAsia="en-US" w:bidi="ar-SA"/>
              </w:rPr>
              <w:t xml:space="preserve"> </w:t>
            </w:r>
            <w:r>
              <w:rPr>
                <w:rFonts w:ascii="Arial" w:eastAsia="Arial" w:hAnsi="Arial" w:cs="Arial"/>
                <w:sz w:val="20"/>
                <w:szCs w:val="22"/>
                <w:lang w:val="en-US" w:eastAsia="en-US" w:bidi="ar-SA"/>
              </w:rPr>
              <w:t>sources</w:t>
            </w:r>
            <w:r>
              <w:rPr>
                <w:rFonts w:ascii="Arial" w:eastAsia="Arial" w:hAnsi="Arial" w:cs="Arial"/>
                <w:spacing w:val="-8"/>
                <w:sz w:val="20"/>
                <w:szCs w:val="22"/>
                <w:lang w:val="en-US" w:eastAsia="en-US" w:bidi="ar-SA"/>
              </w:rPr>
              <w:t xml:space="preserve"> </w:t>
            </w:r>
            <w:r>
              <w:rPr>
                <w:rFonts w:ascii="Arial" w:eastAsia="Arial" w:hAnsi="Arial" w:cs="Arial"/>
                <w:sz w:val="20"/>
                <w:szCs w:val="22"/>
                <w:lang w:val="en-US" w:eastAsia="en-US" w:bidi="ar-SA"/>
              </w:rPr>
              <w:t>of</w:t>
            </w:r>
            <w:r>
              <w:rPr>
                <w:rFonts w:ascii="Arial" w:eastAsia="Arial" w:hAnsi="Arial" w:cs="Arial"/>
                <w:spacing w:val="-9"/>
                <w:sz w:val="20"/>
                <w:szCs w:val="22"/>
                <w:lang w:val="en-US" w:eastAsia="en-US" w:bidi="ar-SA"/>
              </w:rPr>
              <w:t xml:space="preserve"> </w:t>
            </w:r>
            <w:r>
              <w:rPr>
                <w:rFonts w:ascii="Arial" w:eastAsia="Arial" w:hAnsi="Arial" w:cs="Arial"/>
                <w:spacing w:val="-2"/>
                <w:sz w:val="20"/>
                <w:szCs w:val="22"/>
                <w:lang w:val="en-US" w:eastAsia="en-US" w:bidi="ar-SA"/>
              </w:rPr>
              <w:t>funding</w:t>
            </w:r>
          </w:p>
        </w:tc>
        <w:tc>
          <w:tcPr>
            <w:tcW w:w="2160" w:type="dxa"/>
            <w:tcBorders>
              <w:bottom w:val="double" w:sz="4" w:space="0" w:color="000000"/>
            </w:tcBorders>
          </w:tcPr>
          <w:p w:rsidR="002E558C" w:rsidRPr="00DA2B94" w:rsidP="003F1206" w14:paraId="6E393CD2" w14:textId="6FE521EC">
            <w:pPr>
              <w:pStyle w:val="TableParagraph"/>
              <w:spacing w:before="94"/>
              <w:ind w:left="0" w:right="164"/>
              <w:jc w:val="right"/>
              <w:rPr>
                <w:rFonts w:ascii="Arial" w:eastAsia="Arial" w:hAnsi="Arial" w:cs="Arial"/>
                <w:sz w:val="20"/>
                <w:szCs w:val="22"/>
                <w:vertAlign w:val="superscript"/>
                <w:lang w:val="en-US" w:eastAsia="en-US" w:bidi="ar-SA"/>
              </w:rPr>
            </w:pPr>
            <w:r>
              <w:rPr>
                <w:rFonts w:ascii="Arial" w:eastAsia="Arial" w:hAnsi="Arial" w:cs="Arial"/>
                <w:spacing w:val="-5"/>
                <w:sz w:val="20"/>
                <w:szCs w:val="22"/>
                <w:lang w:val="en-US" w:eastAsia="en-US" w:bidi="ar-SA"/>
              </w:rPr>
              <w:t>Nil</w:t>
            </w:r>
            <w:r w:rsidR="00DA2B94">
              <w:rPr>
                <w:rFonts w:ascii="Arial" w:eastAsia="Arial" w:hAnsi="Arial" w:cs="Arial"/>
                <w:spacing w:val="-5"/>
                <w:sz w:val="20"/>
                <w:szCs w:val="22"/>
                <w:vertAlign w:val="superscript"/>
                <w:lang w:val="en-US" w:eastAsia="en-US" w:bidi="ar-SA"/>
              </w:rPr>
              <w:t>(3)</w:t>
            </w:r>
          </w:p>
        </w:tc>
      </w:tr>
      <w:tr w14:paraId="58093156" w14:textId="0AED6C5D" w:rsidTr="002E558C">
        <w:tblPrEx>
          <w:tblW w:w="9845" w:type="dxa"/>
          <w:tblInd w:w="140" w:type="dxa"/>
          <w:tblLayout w:type="fixed"/>
          <w:tblLook w:val="01E0"/>
        </w:tblPrEx>
        <w:trPr>
          <w:trHeight w:val="470"/>
        </w:trPr>
        <w:tc>
          <w:tcPr>
            <w:tcW w:w="430" w:type="dxa"/>
          </w:tcPr>
          <w:p w:rsidR="002E558C" w:rsidRPr="00E86128" w:rsidP="003F1206" w14:paraId="578B13EC" w14:textId="77777777">
            <w:pPr>
              <w:pStyle w:val="TableParagraph"/>
              <w:spacing w:before="119"/>
              <w:ind w:left="107"/>
              <w:rPr>
                <w:rFonts w:ascii="Arial" w:eastAsia="Arial" w:hAnsi="Arial" w:cs="Arial"/>
                <w:sz w:val="20"/>
                <w:szCs w:val="22"/>
                <w:lang w:val="en-US" w:eastAsia="en-US" w:bidi="ar-SA"/>
              </w:rPr>
            </w:pPr>
            <w:r w:rsidRPr="00E86128">
              <w:rPr>
                <w:rFonts w:ascii="Arial" w:eastAsia="Arial" w:hAnsi="Arial" w:cs="Arial"/>
                <w:w w:val="99"/>
                <w:sz w:val="20"/>
                <w:szCs w:val="22"/>
                <w:lang w:val="en-US" w:eastAsia="en-US" w:bidi="ar-SA"/>
              </w:rPr>
              <w:t>G</w:t>
            </w:r>
          </w:p>
        </w:tc>
        <w:tc>
          <w:tcPr>
            <w:tcW w:w="7255" w:type="dxa"/>
          </w:tcPr>
          <w:p w:rsidR="002E558C" w:rsidRPr="00E86128" w:rsidP="003F1206" w14:paraId="0D882060" w14:textId="77777777">
            <w:pPr>
              <w:pStyle w:val="TableParagraph"/>
              <w:spacing w:before="119"/>
              <w:ind w:left="107"/>
              <w:rPr>
                <w:rFonts w:ascii="Arial" w:eastAsia="Arial" w:hAnsi="Arial" w:cs="Arial"/>
                <w:sz w:val="20"/>
                <w:szCs w:val="22"/>
                <w:lang w:val="en-US" w:eastAsia="en-US" w:bidi="ar-SA"/>
              </w:rPr>
            </w:pPr>
            <w:r w:rsidRPr="00E86128">
              <w:rPr>
                <w:rFonts w:ascii="Arial" w:eastAsia="Arial" w:hAnsi="Arial" w:cs="Arial"/>
                <w:sz w:val="20"/>
                <w:szCs w:val="22"/>
                <w:lang w:val="en-US" w:eastAsia="en-US" w:bidi="ar-SA"/>
              </w:rPr>
              <w:t>Total</w:t>
            </w:r>
            <w:r w:rsidRPr="00E86128">
              <w:rPr>
                <w:rFonts w:ascii="Arial" w:eastAsia="Arial" w:hAnsi="Arial" w:cs="Arial"/>
                <w:spacing w:val="-4"/>
                <w:sz w:val="20"/>
                <w:szCs w:val="22"/>
                <w:lang w:val="en-US" w:eastAsia="en-US" w:bidi="ar-SA"/>
              </w:rPr>
              <w:t xml:space="preserve"> </w:t>
            </w:r>
            <w:r w:rsidRPr="00E86128">
              <w:rPr>
                <w:rFonts w:ascii="Arial" w:eastAsia="Arial" w:hAnsi="Arial" w:cs="Arial"/>
                <w:sz w:val="20"/>
                <w:szCs w:val="22"/>
                <w:lang w:val="en-US" w:eastAsia="en-US" w:bidi="ar-SA"/>
              </w:rPr>
              <w:t>available</w:t>
            </w:r>
            <w:r w:rsidRPr="00E86128">
              <w:rPr>
                <w:rFonts w:ascii="Arial" w:eastAsia="Arial" w:hAnsi="Arial" w:cs="Arial"/>
                <w:spacing w:val="-3"/>
                <w:sz w:val="20"/>
                <w:szCs w:val="22"/>
                <w:lang w:val="en-US" w:eastAsia="en-US" w:bidi="ar-SA"/>
              </w:rPr>
              <w:t xml:space="preserve"> </w:t>
            </w:r>
            <w:r w:rsidRPr="00E86128">
              <w:rPr>
                <w:rFonts w:ascii="Arial" w:eastAsia="Arial" w:hAnsi="Arial" w:cs="Arial"/>
                <w:sz w:val="20"/>
                <w:szCs w:val="22"/>
                <w:lang w:val="en-US" w:eastAsia="en-US" w:bidi="ar-SA"/>
              </w:rPr>
              <w:t>funds:</w:t>
            </w:r>
            <w:r w:rsidRPr="00E86128">
              <w:rPr>
                <w:rFonts w:ascii="Arial" w:eastAsia="Arial" w:hAnsi="Arial" w:cs="Arial"/>
                <w:spacing w:val="-5"/>
                <w:sz w:val="20"/>
                <w:szCs w:val="22"/>
                <w:lang w:val="en-US" w:eastAsia="en-US" w:bidi="ar-SA"/>
              </w:rPr>
              <w:t xml:space="preserve"> </w:t>
            </w:r>
            <w:r w:rsidRPr="00E86128">
              <w:rPr>
                <w:rFonts w:ascii="Arial" w:eastAsia="Arial" w:hAnsi="Arial" w:cs="Arial"/>
                <w:sz w:val="20"/>
                <w:szCs w:val="22"/>
                <w:lang w:val="en-US" w:eastAsia="en-US" w:bidi="ar-SA"/>
              </w:rPr>
              <w:t>G</w:t>
            </w:r>
            <w:r w:rsidRPr="00E86128">
              <w:rPr>
                <w:rFonts w:ascii="Arial" w:eastAsia="Arial" w:hAnsi="Arial" w:cs="Arial"/>
                <w:spacing w:val="-4"/>
                <w:sz w:val="20"/>
                <w:szCs w:val="22"/>
                <w:lang w:val="en-US" w:eastAsia="en-US" w:bidi="ar-SA"/>
              </w:rPr>
              <w:t xml:space="preserve"> </w:t>
            </w:r>
            <w:r w:rsidRPr="00E86128">
              <w:rPr>
                <w:rFonts w:ascii="Arial" w:eastAsia="Arial" w:hAnsi="Arial" w:cs="Arial"/>
                <w:sz w:val="20"/>
                <w:szCs w:val="22"/>
                <w:lang w:val="en-US" w:eastAsia="en-US" w:bidi="ar-SA"/>
              </w:rPr>
              <w:t>=</w:t>
            </w:r>
            <w:r w:rsidRPr="00E86128">
              <w:rPr>
                <w:rFonts w:ascii="Arial" w:eastAsia="Arial" w:hAnsi="Arial" w:cs="Arial"/>
                <w:spacing w:val="-2"/>
                <w:sz w:val="20"/>
                <w:szCs w:val="22"/>
                <w:lang w:val="en-US" w:eastAsia="en-US" w:bidi="ar-SA"/>
              </w:rPr>
              <w:t xml:space="preserve"> </w:t>
            </w:r>
            <w:r w:rsidRPr="00E86128">
              <w:rPr>
                <w:rFonts w:ascii="Arial" w:eastAsia="Arial" w:hAnsi="Arial" w:cs="Arial"/>
                <w:sz w:val="20"/>
                <w:szCs w:val="22"/>
                <w:lang w:val="en-US" w:eastAsia="en-US" w:bidi="ar-SA"/>
              </w:rPr>
              <w:t>D</w:t>
            </w:r>
            <w:r w:rsidRPr="00E86128">
              <w:rPr>
                <w:rFonts w:ascii="Arial" w:eastAsia="Arial" w:hAnsi="Arial" w:cs="Arial"/>
                <w:spacing w:val="-5"/>
                <w:sz w:val="20"/>
                <w:szCs w:val="22"/>
                <w:lang w:val="en-US" w:eastAsia="en-US" w:bidi="ar-SA"/>
              </w:rPr>
              <w:t xml:space="preserve"> </w:t>
            </w:r>
            <w:r w:rsidRPr="00E86128">
              <w:rPr>
                <w:rFonts w:ascii="Arial" w:eastAsia="Arial" w:hAnsi="Arial" w:cs="Arial"/>
                <w:sz w:val="20"/>
                <w:szCs w:val="22"/>
                <w:lang w:val="en-US" w:eastAsia="en-US" w:bidi="ar-SA"/>
              </w:rPr>
              <w:t>+</w:t>
            </w:r>
            <w:r w:rsidRPr="00E86128">
              <w:rPr>
                <w:rFonts w:ascii="Arial" w:eastAsia="Arial" w:hAnsi="Arial" w:cs="Arial"/>
                <w:spacing w:val="-4"/>
                <w:sz w:val="20"/>
                <w:szCs w:val="22"/>
                <w:lang w:val="en-US" w:eastAsia="en-US" w:bidi="ar-SA"/>
              </w:rPr>
              <w:t xml:space="preserve"> </w:t>
            </w:r>
            <w:r w:rsidRPr="00E86128">
              <w:rPr>
                <w:rFonts w:ascii="Arial" w:eastAsia="Arial" w:hAnsi="Arial" w:cs="Arial"/>
                <w:sz w:val="20"/>
                <w:szCs w:val="22"/>
                <w:lang w:val="en-US" w:eastAsia="en-US" w:bidi="ar-SA"/>
              </w:rPr>
              <w:t>E</w:t>
            </w:r>
            <w:r w:rsidRPr="00E86128">
              <w:rPr>
                <w:rFonts w:ascii="Arial" w:eastAsia="Arial" w:hAnsi="Arial" w:cs="Arial"/>
                <w:spacing w:val="-6"/>
                <w:sz w:val="20"/>
                <w:szCs w:val="22"/>
                <w:lang w:val="en-US" w:eastAsia="en-US" w:bidi="ar-SA"/>
              </w:rPr>
              <w:t xml:space="preserve"> </w:t>
            </w:r>
            <w:r w:rsidRPr="00E86128">
              <w:rPr>
                <w:rFonts w:ascii="Arial" w:eastAsia="Arial" w:hAnsi="Arial" w:cs="Arial"/>
                <w:sz w:val="20"/>
                <w:szCs w:val="22"/>
                <w:lang w:val="en-US" w:eastAsia="en-US" w:bidi="ar-SA"/>
              </w:rPr>
              <w:t>+</w:t>
            </w:r>
            <w:r w:rsidRPr="00E86128">
              <w:rPr>
                <w:rFonts w:ascii="Arial" w:eastAsia="Arial" w:hAnsi="Arial" w:cs="Arial"/>
                <w:spacing w:val="-4"/>
                <w:sz w:val="20"/>
                <w:szCs w:val="22"/>
                <w:lang w:val="en-US" w:eastAsia="en-US" w:bidi="ar-SA"/>
              </w:rPr>
              <w:t xml:space="preserve"> </w:t>
            </w:r>
            <w:r w:rsidRPr="00E86128">
              <w:rPr>
                <w:rFonts w:ascii="Arial" w:eastAsia="Arial" w:hAnsi="Arial" w:cs="Arial"/>
                <w:spacing w:val="-10"/>
                <w:sz w:val="20"/>
                <w:szCs w:val="22"/>
                <w:lang w:val="en-US" w:eastAsia="en-US" w:bidi="ar-SA"/>
              </w:rPr>
              <w:t>F</w:t>
            </w:r>
          </w:p>
        </w:tc>
        <w:tc>
          <w:tcPr>
            <w:tcW w:w="2160" w:type="dxa"/>
          </w:tcPr>
          <w:p w:rsidR="002E558C" w:rsidRPr="0093649B" w:rsidP="0093649B" w14:paraId="3A4EBBF9" w14:textId="0452B74B">
            <w:pPr>
              <w:pStyle w:val="TableParagraph"/>
              <w:spacing w:before="119"/>
              <w:ind w:left="0" w:right="102"/>
              <w:jc w:val="right"/>
              <w:rPr>
                <w:rFonts w:ascii="Arial" w:eastAsia="Arial" w:hAnsi="Arial" w:cs="Arial"/>
                <w:sz w:val="20"/>
                <w:szCs w:val="22"/>
                <w:lang w:val="en-US" w:eastAsia="en-US" w:bidi="ar-SA"/>
              </w:rPr>
            </w:pPr>
            <w:r w:rsidRPr="0093649B">
              <w:rPr>
                <w:rFonts w:ascii="Arial" w:eastAsia="Arial" w:hAnsi="Arial" w:cs="Arial"/>
                <w:sz w:val="20"/>
                <w:szCs w:val="22"/>
                <w:lang w:val="en-US" w:eastAsia="en-US" w:bidi="ar-SA"/>
              </w:rPr>
              <w:t>2,996,800</w:t>
            </w:r>
          </w:p>
        </w:tc>
      </w:tr>
    </w:tbl>
    <w:p w:rsidR="00865AF3" w:rsidP="00E86128" w14:paraId="66C2ED93" w14:textId="7142A900">
      <w:pPr>
        <w:pStyle w:val="ListParagraph"/>
        <w:numPr>
          <w:ilvl w:val="0"/>
          <w:numId w:val="1"/>
        </w:numPr>
        <w:tabs>
          <w:tab w:val="left" w:pos="673"/>
        </w:tabs>
        <w:spacing w:before="240" w:line="252" w:lineRule="auto"/>
        <w:ind w:left="673" w:right="482" w:hanging="359"/>
        <w:jc w:val="both"/>
        <w:rPr>
          <w:sz w:val="16"/>
        </w:rPr>
      </w:pPr>
      <w:r w:rsidRPr="00E86128">
        <w:rPr>
          <w:sz w:val="16"/>
        </w:rPr>
        <w:t xml:space="preserve">The Company </w:t>
      </w:r>
      <w:r w:rsidR="0091468A">
        <w:rPr>
          <w:sz w:val="16"/>
        </w:rPr>
        <w:t>does not expect to pay any selling commissions in connection with the Offering at this time</w:t>
      </w:r>
      <w:r w:rsidRPr="00E86128" w:rsidR="00317C34">
        <w:rPr>
          <w:sz w:val="16"/>
        </w:rPr>
        <w:t>.</w:t>
      </w:r>
    </w:p>
    <w:p w:rsidR="0085342B" w:rsidP="002200FA" w14:paraId="18037015" w14:textId="208E57D4">
      <w:pPr>
        <w:pStyle w:val="ListParagraph"/>
        <w:numPr>
          <w:ilvl w:val="0"/>
          <w:numId w:val="1"/>
        </w:numPr>
        <w:tabs>
          <w:tab w:val="left" w:pos="673"/>
        </w:tabs>
        <w:spacing w:before="240" w:line="252" w:lineRule="auto"/>
        <w:ind w:left="673" w:right="482" w:hanging="359"/>
        <w:jc w:val="both"/>
        <w:rPr>
          <w:sz w:val="16"/>
        </w:rPr>
      </w:pPr>
      <w:r w:rsidRPr="00852972">
        <w:rPr>
          <w:sz w:val="16"/>
        </w:rPr>
        <w:t xml:space="preserve">Working capital = current assets minus current liabilities. </w:t>
      </w:r>
    </w:p>
    <w:p w:rsidR="00DA2B94" w:rsidRPr="00852972" w:rsidP="002200FA" w14:paraId="4B9E08E7" w14:textId="1744EF1F">
      <w:pPr>
        <w:pStyle w:val="ListParagraph"/>
        <w:numPr>
          <w:ilvl w:val="0"/>
          <w:numId w:val="1"/>
        </w:numPr>
        <w:tabs>
          <w:tab w:val="left" w:pos="673"/>
        </w:tabs>
        <w:spacing w:before="240" w:line="252" w:lineRule="auto"/>
        <w:ind w:left="673" w:right="482" w:hanging="359"/>
        <w:jc w:val="both"/>
        <w:rPr>
          <w:sz w:val="16"/>
        </w:rPr>
      </w:pPr>
      <w:r>
        <w:rPr>
          <w:sz w:val="16"/>
        </w:rPr>
        <w:t>Assuming the Offering is completed prior to the completion of the Concurrent Private Placement</w:t>
      </w:r>
    </w:p>
    <w:p w:rsidR="004D7A2D" w:rsidP="003B0000" w14:paraId="2746784F" w14:textId="687AC263">
      <w:pPr>
        <w:keepNext/>
        <w:spacing w:before="93"/>
        <w:ind w:left="142"/>
        <w:rPr>
          <w:b/>
          <w:sz w:val="20"/>
        </w:rPr>
      </w:pPr>
      <w:r>
        <w:rPr>
          <w:b/>
          <w:sz w:val="20"/>
        </w:rPr>
        <w:t>How</w:t>
      </w:r>
      <w:r>
        <w:rPr>
          <w:b/>
          <w:spacing w:val="-7"/>
          <w:sz w:val="20"/>
        </w:rPr>
        <w:t xml:space="preserve"> </w:t>
      </w:r>
      <w:r>
        <w:rPr>
          <w:b/>
          <w:sz w:val="20"/>
        </w:rPr>
        <w:t>will</w:t>
      </w:r>
      <w:r>
        <w:rPr>
          <w:b/>
          <w:spacing w:val="-6"/>
          <w:sz w:val="20"/>
        </w:rPr>
        <w:t xml:space="preserve"> </w:t>
      </w:r>
      <w:r>
        <w:rPr>
          <w:b/>
          <w:sz w:val="20"/>
        </w:rPr>
        <w:t>we</w:t>
      </w:r>
      <w:r>
        <w:rPr>
          <w:b/>
          <w:spacing w:val="-6"/>
          <w:sz w:val="20"/>
        </w:rPr>
        <w:t xml:space="preserve"> </w:t>
      </w:r>
      <w:r>
        <w:rPr>
          <w:b/>
          <w:sz w:val="20"/>
        </w:rPr>
        <w:t>use</w:t>
      </w:r>
      <w:r>
        <w:rPr>
          <w:b/>
          <w:spacing w:val="-4"/>
          <w:sz w:val="20"/>
        </w:rPr>
        <w:t xml:space="preserve"> </w:t>
      </w:r>
      <w:r>
        <w:rPr>
          <w:b/>
          <w:sz w:val="20"/>
        </w:rPr>
        <w:t>the</w:t>
      </w:r>
      <w:r>
        <w:rPr>
          <w:b/>
          <w:spacing w:val="-6"/>
          <w:sz w:val="20"/>
        </w:rPr>
        <w:t xml:space="preserve"> </w:t>
      </w:r>
      <w:r>
        <w:rPr>
          <w:b/>
          <w:sz w:val="20"/>
        </w:rPr>
        <w:t>available</w:t>
      </w:r>
      <w:r>
        <w:rPr>
          <w:b/>
          <w:spacing w:val="-5"/>
          <w:sz w:val="20"/>
        </w:rPr>
        <w:t xml:space="preserve"> </w:t>
      </w:r>
      <w:r>
        <w:rPr>
          <w:b/>
          <w:spacing w:val="-2"/>
          <w:sz w:val="20"/>
        </w:rPr>
        <w:t>funds?</w:t>
      </w:r>
    </w:p>
    <w:p w:rsidR="004D7A2D" w:rsidP="003B0000" w14:paraId="5582429E" w14:textId="77777777">
      <w:pPr>
        <w:pStyle w:val="BodyText"/>
        <w:keepNext/>
        <w:spacing w:before="10"/>
        <w:rPr>
          <w:b/>
        </w:rPr>
      </w:pPr>
    </w:p>
    <w:p w:rsidR="004D7A2D" w:rsidRPr="000A752A" w:rsidP="003B0000" w14:paraId="01429207" w14:textId="5C9D5204">
      <w:pPr>
        <w:pStyle w:val="BodyText"/>
        <w:keepNext/>
        <w:ind w:left="142"/>
        <w:jc w:val="both"/>
        <w:rPr>
          <w:b/>
          <w:bCs/>
        </w:rPr>
      </w:pPr>
      <w:r>
        <w:t>The</w:t>
      </w:r>
      <w:r>
        <w:rPr>
          <w:spacing w:val="-8"/>
        </w:rPr>
        <w:t xml:space="preserve"> </w:t>
      </w:r>
      <w:r>
        <w:t>Company</w:t>
      </w:r>
      <w:r>
        <w:rPr>
          <w:spacing w:val="-6"/>
        </w:rPr>
        <w:t xml:space="preserve"> </w:t>
      </w:r>
      <w:r>
        <w:t>intends</w:t>
      </w:r>
      <w:r>
        <w:rPr>
          <w:spacing w:val="-6"/>
        </w:rPr>
        <w:t xml:space="preserve"> </w:t>
      </w:r>
      <w:r>
        <w:t>to</w:t>
      </w:r>
      <w:r>
        <w:rPr>
          <w:spacing w:val="-6"/>
        </w:rPr>
        <w:t xml:space="preserve"> </w:t>
      </w:r>
      <w:r>
        <w:t>use</w:t>
      </w:r>
      <w:r>
        <w:rPr>
          <w:spacing w:val="-7"/>
        </w:rPr>
        <w:t xml:space="preserve"> </w:t>
      </w:r>
      <w:r>
        <w:t>the</w:t>
      </w:r>
      <w:r>
        <w:rPr>
          <w:spacing w:val="-5"/>
        </w:rPr>
        <w:t xml:space="preserve"> </w:t>
      </w:r>
      <w:r>
        <w:t>available</w:t>
      </w:r>
      <w:r>
        <w:rPr>
          <w:spacing w:val="-5"/>
        </w:rPr>
        <w:t xml:space="preserve"> </w:t>
      </w:r>
      <w:r>
        <w:t>funds</w:t>
      </w:r>
      <w:r>
        <w:rPr>
          <w:spacing w:val="-6"/>
        </w:rPr>
        <w:t xml:space="preserve"> </w:t>
      </w:r>
      <w:r>
        <w:t>as</w:t>
      </w:r>
      <w:r>
        <w:rPr>
          <w:spacing w:val="-6"/>
        </w:rPr>
        <w:t xml:space="preserve"> </w:t>
      </w:r>
      <w:r>
        <w:rPr>
          <w:spacing w:val="-2"/>
        </w:rPr>
        <w:t>follows:</w:t>
      </w:r>
    </w:p>
    <w:p w:rsidR="004D7A2D" w:rsidP="003B0000" w14:paraId="71E8B5DC" w14:textId="77777777">
      <w:pPr>
        <w:pStyle w:val="BodyText"/>
        <w:keepNext/>
        <w:spacing w:before="11"/>
      </w:pPr>
    </w:p>
    <w:tbl>
      <w:tblPr>
        <w:tblW w:w="9833"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13"/>
        <w:gridCol w:w="2520"/>
      </w:tblGrid>
      <w:tr w14:paraId="74DC3ACA" w14:textId="1EE2A63D" w:rsidTr="002E558C">
        <w:tblPrEx>
          <w:tblW w:w="9833" w:type="dxa"/>
          <w:tblInd w:w="152" w:type="dxa"/>
          <w:tblLayout w:type="fixed"/>
          <w:tblLook w:val="01E0"/>
        </w:tblPrEx>
        <w:trPr>
          <w:trHeight w:val="931"/>
        </w:trPr>
        <w:tc>
          <w:tcPr>
            <w:tcW w:w="7313" w:type="dxa"/>
            <w:shd w:val="clear" w:color="auto" w:fill="auto"/>
          </w:tcPr>
          <w:p w:rsidR="002E558C" w:rsidRPr="002C2F6F" w:rsidP="003B0000" w14:paraId="0795B648" w14:textId="208E7F9E">
            <w:pPr>
              <w:pStyle w:val="TableParagraph"/>
              <w:keepNext/>
              <w:spacing w:before="119"/>
              <w:ind w:left="2104" w:hanging="1911"/>
              <w:rPr>
                <w:rFonts w:ascii="Arial" w:eastAsia="Arial" w:hAnsi="Arial" w:cs="Arial"/>
                <w:b/>
                <w:sz w:val="19"/>
                <w:szCs w:val="19"/>
                <w:lang w:val="en-US" w:eastAsia="en-US" w:bidi="ar-SA"/>
              </w:rPr>
            </w:pPr>
            <w:r w:rsidRPr="002C2F6F">
              <w:rPr>
                <w:rFonts w:ascii="Arial" w:eastAsia="Arial" w:hAnsi="Arial" w:cs="Arial"/>
                <w:b/>
                <w:sz w:val="19"/>
                <w:szCs w:val="19"/>
                <w:lang w:val="en-US" w:eastAsia="en-US" w:bidi="ar-SA"/>
              </w:rPr>
              <w:t>Description</w:t>
            </w:r>
            <w:r w:rsidRPr="002C2F6F">
              <w:rPr>
                <w:rFonts w:ascii="Arial" w:eastAsia="Arial" w:hAnsi="Arial" w:cs="Arial"/>
                <w:b/>
                <w:spacing w:val="-5"/>
                <w:sz w:val="19"/>
                <w:szCs w:val="19"/>
                <w:lang w:val="en-US" w:eastAsia="en-US" w:bidi="ar-SA"/>
              </w:rPr>
              <w:t xml:space="preserve"> </w:t>
            </w:r>
            <w:r w:rsidRPr="002C2F6F">
              <w:rPr>
                <w:rFonts w:ascii="Arial" w:eastAsia="Arial" w:hAnsi="Arial" w:cs="Arial"/>
                <w:b/>
                <w:sz w:val="19"/>
                <w:szCs w:val="19"/>
                <w:lang w:val="en-US" w:eastAsia="en-US" w:bidi="ar-SA"/>
              </w:rPr>
              <w:t>of</w:t>
            </w:r>
            <w:r w:rsidRPr="002C2F6F">
              <w:rPr>
                <w:rFonts w:ascii="Arial" w:eastAsia="Arial" w:hAnsi="Arial" w:cs="Arial"/>
                <w:b/>
                <w:spacing w:val="-4"/>
                <w:sz w:val="19"/>
                <w:szCs w:val="19"/>
                <w:lang w:val="en-US" w:eastAsia="en-US" w:bidi="ar-SA"/>
              </w:rPr>
              <w:t xml:space="preserve"> </w:t>
            </w:r>
            <w:r w:rsidRPr="002C2F6F">
              <w:rPr>
                <w:rFonts w:ascii="Arial" w:eastAsia="Arial" w:hAnsi="Arial" w:cs="Arial"/>
                <w:b/>
                <w:sz w:val="19"/>
                <w:szCs w:val="19"/>
                <w:lang w:val="en-US" w:eastAsia="en-US" w:bidi="ar-SA"/>
              </w:rPr>
              <w:t>Intended</w:t>
            </w:r>
            <w:r w:rsidRPr="002C2F6F">
              <w:rPr>
                <w:rFonts w:ascii="Arial" w:eastAsia="Arial" w:hAnsi="Arial" w:cs="Arial"/>
                <w:b/>
                <w:spacing w:val="-5"/>
                <w:sz w:val="19"/>
                <w:szCs w:val="19"/>
                <w:lang w:val="en-US" w:eastAsia="en-US" w:bidi="ar-SA"/>
              </w:rPr>
              <w:t xml:space="preserve"> </w:t>
            </w:r>
            <w:r w:rsidRPr="002C2F6F">
              <w:rPr>
                <w:rFonts w:ascii="Arial" w:eastAsia="Arial" w:hAnsi="Arial" w:cs="Arial"/>
                <w:b/>
                <w:sz w:val="19"/>
                <w:szCs w:val="19"/>
                <w:lang w:val="en-US" w:eastAsia="en-US" w:bidi="ar-SA"/>
              </w:rPr>
              <w:t>Use</w:t>
            </w:r>
            <w:r w:rsidRPr="002C2F6F">
              <w:rPr>
                <w:rFonts w:ascii="Arial" w:eastAsia="Arial" w:hAnsi="Arial" w:cs="Arial"/>
                <w:b/>
                <w:spacing w:val="-7"/>
                <w:sz w:val="19"/>
                <w:szCs w:val="19"/>
                <w:lang w:val="en-US" w:eastAsia="en-US" w:bidi="ar-SA"/>
              </w:rPr>
              <w:t xml:space="preserve"> </w:t>
            </w:r>
            <w:r w:rsidRPr="002C2F6F">
              <w:rPr>
                <w:rFonts w:ascii="Arial" w:eastAsia="Arial" w:hAnsi="Arial" w:cs="Arial"/>
                <w:b/>
                <w:sz w:val="19"/>
                <w:szCs w:val="19"/>
                <w:lang w:val="en-US" w:eastAsia="en-US" w:bidi="ar-SA"/>
              </w:rPr>
              <w:t>of</w:t>
            </w:r>
            <w:r w:rsidRPr="002C2F6F">
              <w:rPr>
                <w:rFonts w:ascii="Arial" w:eastAsia="Arial" w:hAnsi="Arial" w:cs="Arial"/>
                <w:b/>
                <w:spacing w:val="-4"/>
                <w:sz w:val="19"/>
                <w:szCs w:val="19"/>
                <w:lang w:val="en-US" w:eastAsia="en-US" w:bidi="ar-SA"/>
              </w:rPr>
              <w:t xml:space="preserve"> </w:t>
            </w:r>
            <w:r w:rsidRPr="002C2F6F">
              <w:rPr>
                <w:rFonts w:ascii="Arial" w:eastAsia="Arial" w:hAnsi="Arial" w:cs="Arial"/>
                <w:b/>
                <w:sz w:val="19"/>
                <w:szCs w:val="19"/>
                <w:lang w:val="en-US" w:eastAsia="en-US" w:bidi="ar-SA"/>
              </w:rPr>
              <w:t>Available</w:t>
            </w:r>
            <w:r w:rsidRPr="002C2F6F">
              <w:rPr>
                <w:rFonts w:ascii="Arial" w:eastAsia="Arial" w:hAnsi="Arial" w:cs="Arial"/>
                <w:b/>
                <w:spacing w:val="-6"/>
                <w:sz w:val="19"/>
                <w:szCs w:val="19"/>
                <w:lang w:val="en-US" w:eastAsia="en-US" w:bidi="ar-SA"/>
              </w:rPr>
              <w:t xml:space="preserve"> </w:t>
            </w:r>
            <w:r w:rsidRPr="002C2F6F">
              <w:rPr>
                <w:rFonts w:ascii="Arial" w:eastAsia="Arial" w:hAnsi="Arial" w:cs="Arial"/>
                <w:b/>
                <w:sz w:val="19"/>
                <w:szCs w:val="19"/>
                <w:lang w:val="en-US" w:eastAsia="en-US" w:bidi="ar-SA"/>
              </w:rPr>
              <w:t>Funds</w:t>
            </w:r>
            <w:r w:rsidRPr="002C2F6F">
              <w:rPr>
                <w:rFonts w:ascii="Arial" w:eastAsia="Arial" w:hAnsi="Arial" w:cs="Arial"/>
                <w:b/>
                <w:spacing w:val="-5"/>
                <w:sz w:val="19"/>
                <w:szCs w:val="19"/>
                <w:lang w:val="en-US" w:eastAsia="en-US" w:bidi="ar-SA"/>
              </w:rPr>
              <w:t xml:space="preserve"> </w:t>
            </w:r>
            <w:r w:rsidRPr="002C2F6F">
              <w:rPr>
                <w:rFonts w:ascii="Arial" w:eastAsia="Arial" w:hAnsi="Arial" w:cs="Arial"/>
                <w:b/>
                <w:sz w:val="19"/>
                <w:szCs w:val="19"/>
                <w:lang w:val="en-US" w:eastAsia="en-US" w:bidi="ar-SA"/>
              </w:rPr>
              <w:t>Listed</w:t>
            </w:r>
            <w:r w:rsidRPr="002C2F6F">
              <w:rPr>
                <w:rFonts w:ascii="Arial" w:eastAsia="Arial" w:hAnsi="Arial" w:cs="Arial"/>
                <w:b/>
                <w:spacing w:val="-6"/>
                <w:sz w:val="19"/>
                <w:szCs w:val="19"/>
                <w:lang w:val="en-US" w:eastAsia="en-US" w:bidi="ar-SA"/>
              </w:rPr>
              <w:t xml:space="preserve"> </w:t>
            </w:r>
            <w:r>
              <w:rPr>
                <w:rFonts w:ascii="Arial" w:eastAsia="Arial" w:hAnsi="Arial" w:cs="Arial"/>
                <w:b/>
                <w:spacing w:val="-6"/>
                <w:sz w:val="19"/>
                <w:szCs w:val="19"/>
                <w:lang w:val="en-US" w:eastAsia="en-US" w:bidi="ar-SA"/>
              </w:rPr>
              <w:br/>
            </w:r>
            <w:r w:rsidRPr="002C2F6F">
              <w:rPr>
                <w:rFonts w:ascii="Arial" w:eastAsia="Arial" w:hAnsi="Arial" w:cs="Arial"/>
                <w:b/>
                <w:sz w:val="19"/>
                <w:szCs w:val="19"/>
                <w:lang w:val="en-US" w:eastAsia="en-US" w:bidi="ar-SA"/>
              </w:rPr>
              <w:t>in Order of Priority</w:t>
            </w:r>
          </w:p>
        </w:tc>
        <w:tc>
          <w:tcPr>
            <w:tcW w:w="2520" w:type="dxa"/>
            <w:shd w:val="clear" w:color="auto" w:fill="auto"/>
          </w:tcPr>
          <w:p w:rsidR="002E558C" w:rsidRPr="002C2F6F" w:rsidP="003B0000" w14:paraId="36339B5E" w14:textId="77777777">
            <w:pPr>
              <w:pStyle w:val="TableParagraph"/>
              <w:keepNext/>
              <w:spacing w:before="119"/>
              <w:ind w:left="309" w:right="306" w:firstLine="2"/>
              <w:jc w:val="center"/>
              <w:rPr>
                <w:rFonts w:ascii="Arial" w:eastAsia="Arial" w:hAnsi="Arial" w:cs="Arial"/>
                <w:b/>
                <w:sz w:val="19"/>
                <w:szCs w:val="19"/>
                <w:lang w:val="en-US" w:eastAsia="en-US" w:bidi="ar-SA"/>
              </w:rPr>
            </w:pPr>
            <w:r w:rsidRPr="002C2F6F">
              <w:rPr>
                <w:rFonts w:ascii="Arial" w:eastAsia="Arial" w:hAnsi="Arial" w:cs="Arial"/>
                <w:b/>
                <w:spacing w:val="-2"/>
                <w:sz w:val="19"/>
                <w:szCs w:val="19"/>
                <w:lang w:val="en-US" w:eastAsia="en-US" w:bidi="ar-SA"/>
              </w:rPr>
              <w:t xml:space="preserve">Assuming </w:t>
            </w:r>
            <w:r w:rsidRPr="002C2F6F">
              <w:rPr>
                <w:rFonts w:ascii="Arial" w:eastAsia="Arial" w:hAnsi="Arial" w:cs="Arial"/>
                <w:b/>
                <w:sz w:val="19"/>
                <w:szCs w:val="19"/>
                <w:lang w:val="en-US" w:eastAsia="en-US" w:bidi="ar-SA"/>
              </w:rPr>
              <w:t>100% of Offering</w:t>
            </w:r>
            <w:r w:rsidRPr="002C2F6F">
              <w:rPr>
                <w:rFonts w:ascii="Arial" w:eastAsia="Arial" w:hAnsi="Arial" w:cs="Arial"/>
                <w:b/>
                <w:spacing w:val="-14"/>
                <w:sz w:val="19"/>
                <w:szCs w:val="19"/>
                <w:lang w:val="en-US" w:eastAsia="en-US" w:bidi="ar-SA"/>
              </w:rPr>
              <w:t xml:space="preserve"> </w:t>
            </w:r>
            <w:r w:rsidRPr="002C2F6F">
              <w:rPr>
                <w:rFonts w:ascii="Arial" w:eastAsia="Arial" w:hAnsi="Arial" w:cs="Arial"/>
                <w:b/>
                <w:sz w:val="19"/>
                <w:szCs w:val="19"/>
                <w:lang w:val="en-US" w:eastAsia="en-US" w:bidi="ar-SA"/>
              </w:rPr>
              <w:t>($)</w:t>
            </w:r>
          </w:p>
        </w:tc>
      </w:tr>
      <w:tr w14:paraId="6EF29AE2" w14:textId="1FE7FFB9" w:rsidTr="002E558C">
        <w:tblPrEx>
          <w:tblW w:w="9833" w:type="dxa"/>
          <w:tblInd w:w="152" w:type="dxa"/>
          <w:tblLayout w:type="fixed"/>
          <w:tblLook w:val="01E0"/>
        </w:tblPrEx>
        <w:trPr>
          <w:trHeight w:val="470"/>
        </w:trPr>
        <w:tc>
          <w:tcPr>
            <w:tcW w:w="7313" w:type="dxa"/>
            <w:shd w:val="clear" w:color="auto" w:fill="auto"/>
          </w:tcPr>
          <w:p w:rsidR="002E558C" w:rsidRPr="002C2F6F" w:rsidP="006E1045" w14:paraId="021B79EF" w14:textId="572272D9">
            <w:pPr>
              <w:pStyle w:val="TableParagraph"/>
              <w:keepNext/>
              <w:spacing w:before="125"/>
              <w:ind w:left="95"/>
              <w:rPr>
                <w:rFonts w:ascii="Arial" w:eastAsia="Arial" w:hAnsi="Arial" w:cs="Arial"/>
                <w:sz w:val="19"/>
                <w:szCs w:val="19"/>
                <w:lang w:val="en-US" w:eastAsia="en-US" w:bidi="ar-SA"/>
              </w:rPr>
            </w:pPr>
            <w:r>
              <w:rPr>
                <w:rFonts w:ascii="Arial" w:eastAsia="Arial" w:hAnsi="Arial" w:cs="Arial"/>
                <w:sz w:val="19"/>
                <w:szCs w:val="19"/>
                <w:lang w:val="en-US" w:eastAsia="en-US" w:bidi="ar-SA"/>
              </w:rPr>
              <w:t xml:space="preserve">Fulfillment of the December 31, 2026 exploration expenditure commitment necessary to </w:t>
            </w:r>
            <w:r w:rsidR="00DA2B94">
              <w:rPr>
                <w:rFonts w:ascii="Arial" w:eastAsia="Arial" w:hAnsi="Arial" w:cs="Arial"/>
                <w:sz w:val="19"/>
                <w:szCs w:val="19"/>
                <w:lang w:val="en-US" w:eastAsia="en-US" w:bidi="ar-SA"/>
              </w:rPr>
              <w:t>exercise the Company’s option on the Indata Project</w:t>
            </w:r>
            <w:r>
              <w:rPr>
                <w:rFonts w:ascii="Arial" w:eastAsia="Arial" w:hAnsi="Arial" w:cs="Arial"/>
                <w:sz w:val="19"/>
                <w:szCs w:val="19"/>
                <w:lang w:val="en-US" w:eastAsia="en-US" w:bidi="ar-SA"/>
              </w:rPr>
              <w:t xml:space="preserve"> </w:t>
            </w:r>
          </w:p>
        </w:tc>
        <w:tc>
          <w:tcPr>
            <w:tcW w:w="2520" w:type="dxa"/>
            <w:shd w:val="clear" w:color="auto" w:fill="auto"/>
          </w:tcPr>
          <w:p w:rsidR="002E558C" w:rsidRPr="002C2F6F" w:rsidP="006E1045" w14:paraId="6798E0BD" w14:textId="0E184338">
            <w:pPr>
              <w:pStyle w:val="TableParagraph"/>
              <w:keepNext/>
              <w:spacing w:before="119"/>
              <w:ind w:left="0" w:right="72"/>
              <w:jc w:val="right"/>
              <w:rPr>
                <w:rFonts w:ascii="Arial" w:eastAsia="Arial" w:hAnsi="Arial" w:cs="Arial"/>
                <w:sz w:val="19"/>
                <w:szCs w:val="19"/>
                <w:lang w:val="en-US" w:eastAsia="en-US" w:bidi="ar-SA"/>
              </w:rPr>
            </w:pPr>
            <w:r>
              <w:rPr>
                <w:rFonts w:ascii="Arial" w:eastAsia="Arial" w:hAnsi="Arial" w:cs="Arial"/>
                <w:sz w:val="19"/>
                <w:szCs w:val="19"/>
                <w:lang w:val="en-US" w:eastAsia="en-US" w:bidi="ar-SA"/>
              </w:rPr>
              <w:t>800,000</w:t>
            </w:r>
          </w:p>
        </w:tc>
      </w:tr>
      <w:tr w14:paraId="450449EC" w14:textId="0A6E4313" w:rsidTr="002E558C">
        <w:tblPrEx>
          <w:tblW w:w="9833" w:type="dxa"/>
          <w:tblInd w:w="152" w:type="dxa"/>
          <w:tblLayout w:type="fixed"/>
          <w:tblLook w:val="01E0"/>
        </w:tblPrEx>
        <w:trPr>
          <w:trHeight w:val="470"/>
        </w:trPr>
        <w:tc>
          <w:tcPr>
            <w:tcW w:w="7313" w:type="dxa"/>
            <w:shd w:val="clear" w:color="auto" w:fill="auto"/>
          </w:tcPr>
          <w:p w:rsidR="002E558C" w:rsidRPr="002C2F6F" w:rsidP="006E1045" w14:paraId="748BEA61" w14:textId="3564F9B4">
            <w:pPr>
              <w:pStyle w:val="TableParagraph"/>
              <w:spacing w:before="125"/>
              <w:ind w:left="95"/>
              <w:rPr>
                <w:rFonts w:ascii="Arial" w:eastAsia="Arial" w:hAnsi="Arial" w:cs="Arial"/>
                <w:sz w:val="19"/>
                <w:szCs w:val="19"/>
                <w:lang w:val="en-US" w:eastAsia="en-US" w:bidi="ar-SA"/>
              </w:rPr>
            </w:pPr>
            <w:r w:rsidRPr="002C2F6F">
              <w:rPr>
                <w:rFonts w:ascii="Arial" w:eastAsia="Arial" w:hAnsi="Arial" w:cs="Arial"/>
                <w:sz w:val="19"/>
                <w:szCs w:val="19"/>
                <w:lang w:val="en-US" w:eastAsia="en-US" w:bidi="ar-SA"/>
              </w:rPr>
              <w:t>General corporate purposes</w:t>
            </w:r>
          </w:p>
        </w:tc>
        <w:tc>
          <w:tcPr>
            <w:tcW w:w="2520" w:type="dxa"/>
            <w:shd w:val="clear" w:color="auto" w:fill="auto"/>
          </w:tcPr>
          <w:p w:rsidR="002E558C" w:rsidRPr="002C2F6F" w:rsidP="006E1045" w14:paraId="69E9AFA5" w14:textId="0B2E9D06">
            <w:pPr>
              <w:pStyle w:val="TableParagraph"/>
              <w:spacing w:before="119"/>
              <w:ind w:left="0" w:right="72"/>
              <w:jc w:val="right"/>
              <w:rPr>
                <w:rFonts w:ascii="Arial" w:eastAsia="Arial" w:hAnsi="Arial" w:cs="Arial"/>
                <w:spacing w:val="-2"/>
                <w:sz w:val="19"/>
                <w:szCs w:val="19"/>
                <w:lang w:val="en-US" w:eastAsia="en-US" w:bidi="ar-SA"/>
              </w:rPr>
            </w:pPr>
            <w:r>
              <w:rPr>
                <w:rFonts w:ascii="Arial" w:eastAsia="Arial" w:hAnsi="Arial" w:cs="Arial"/>
                <w:sz w:val="19"/>
                <w:szCs w:val="19"/>
                <w:lang w:val="en-US" w:eastAsia="en-US" w:bidi="ar-SA"/>
              </w:rPr>
              <w:t>1</w:t>
            </w:r>
            <w:r w:rsidR="002726BA">
              <w:rPr>
                <w:rFonts w:ascii="Arial" w:eastAsia="Arial" w:hAnsi="Arial" w:cs="Arial"/>
                <w:sz w:val="19"/>
                <w:szCs w:val="19"/>
                <w:lang w:val="en-US" w:eastAsia="en-US" w:bidi="ar-SA"/>
              </w:rPr>
              <w:t>7</w:t>
            </w:r>
            <w:r>
              <w:rPr>
                <w:rFonts w:ascii="Arial" w:eastAsia="Arial" w:hAnsi="Arial" w:cs="Arial"/>
                <w:sz w:val="19"/>
                <w:szCs w:val="19"/>
                <w:lang w:val="en-US" w:eastAsia="en-US" w:bidi="ar-SA"/>
              </w:rPr>
              <w:t>5,000</w:t>
            </w:r>
          </w:p>
        </w:tc>
      </w:tr>
      <w:tr w14:paraId="1384E9EB" w14:textId="54FD019D" w:rsidTr="002E558C">
        <w:tblPrEx>
          <w:tblW w:w="9833" w:type="dxa"/>
          <w:tblInd w:w="152" w:type="dxa"/>
          <w:tblLayout w:type="fixed"/>
          <w:tblLook w:val="01E0"/>
        </w:tblPrEx>
        <w:trPr>
          <w:trHeight w:val="474"/>
        </w:trPr>
        <w:tc>
          <w:tcPr>
            <w:tcW w:w="7313" w:type="dxa"/>
            <w:shd w:val="clear" w:color="auto" w:fill="auto"/>
          </w:tcPr>
          <w:p w:rsidR="002E558C" w:rsidRPr="002C2F6F" w:rsidP="006E1045" w14:paraId="6C2CC357" w14:textId="77777777">
            <w:pPr>
              <w:pStyle w:val="TableParagraph"/>
              <w:spacing w:before="150"/>
              <w:ind w:left="107"/>
              <w:rPr>
                <w:rFonts w:ascii="Arial" w:eastAsia="Arial" w:hAnsi="Arial" w:cs="Arial"/>
                <w:b/>
                <w:sz w:val="19"/>
                <w:szCs w:val="19"/>
                <w:lang w:val="en-US" w:eastAsia="en-US" w:bidi="ar-SA"/>
              </w:rPr>
            </w:pPr>
            <w:r w:rsidRPr="002C2F6F">
              <w:rPr>
                <w:rFonts w:ascii="Arial" w:eastAsia="Arial" w:hAnsi="Arial" w:cs="Arial"/>
                <w:b/>
                <w:spacing w:val="-2"/>
                <w:sz w:val="19"/>
                <w:szCs w:val="19"/>
                <w:lang w:val="en-US" w:eastAsia="en-US" w:bidi="ar-SA"/>
              </w:rPr>
              <w:t>Total</w:t>
            </w:r>
          </w:p>
        </w:tc>
        <w:tc>
          <w:tcPr>
            <w:tcW w:w="2520" w:type="dxa"/>
            <w:shd w:val="clear" w:color="auto" w:fill="auto"/>
          </w:tcPr>
          <w:p w:rsidR="002E558C" w:rsidRPr="002C2F6F" w:rsidP="006E1045" w14:paraId="456A211B" w14:textId="1F3000DB">
            <w:pPr>
              <w:pStyle w:val="TableParagraph"/>
              <w:spacing w:before="111"/>
              <w:ind w:left="0" w:right="70"/>
              <w:jc w:val="right"/>
              <w:rPr>
                <w:rFonts w:ascii="Arial" w:eastAsia="Arial" w:hAnsi="Arial" w:cs="Arial"/>
                <w:b/>
                <w:bCs/>
                <w:sz w:val="19"/>
                <w:szCs w:val="19"/>
                <w:lang w:val="en-US" w:eastAsia="en-US" w:bidi="ar-SA"/>
              </w:rPr>
            </w:pPr>
            <w:r>
              <w:rPr>
                <w:rFonts w:ascii="Arial" w:eastAsia="Arial" w:hAnsi="Arial" w:cs="Arial"/>
                <w:b/>
                <w:bCs/>
                <w:sz w:val="19"/>
                <w:szCs w:val="19"/>
                <w:lang w:val="en-US" w:eastAsia="en-US" w:bidi="ar-SA"/>
              </w:rPr>
              <w:t>9</w:t>
            </w:r>
            <w:r w:rsidR="00CE0221">
              <w:rPr>
                <w:rFonts w:ascii="Arial" w:eastAsia="Arial" w:hAnsi="Arial" w:cs="Arial"/>
                <w:b/>
                <w:bCs/>
                <w:sz w:val="19"/>
                <w:szCs w:val="19"/>
                <w:lang w:val="en-US" w:eastAsia="en-US" w:bidi="ar-SA"/>
              </w:rPr>
              <w:t>7</w:t>
            </w:r>
            <w:r>
              <w:rPr>
                <w:rFonts w:ascii="Arial" w:eastAsia="Arial" w:hAnsi="Arial" w:cs="Arial"/>
                <w:b/>
                <w:bCs/>
                <w:sz w:val="19"/>
                <w:szCs w:val="19"/>
                <w:lang w:val="en-US" w:eastAsia="en-US" w:bidi="ar-SA"/>
              </w:rPr>
              <w:t>5,000</w:t>
            </w:r>
          </w:p>
        </w:tc>
      </w:tr>
    </w:tbl>
    <w:p w:rsidR="004D7A2D" w14:paraId="5F93BC82" w14:textId="77777777">
      <w:pPr>
        <w:pStyle w:val="BodyText"/>
        <w:rPr>
          <w:rFonts w:ascii="Times New Roman"/>
        </w:rPr>
      </w:pPr>
    </w:p>
    <w:p w:rsidR="004D7A2D" w:rsidRPr="008D26ED" w:rsidP="00173002" w14:paraId="4FB88490" w14:textId="4E02D8AB">
      <w:pPr>
        <w:pStyle w:val="BodyText"/>
        <w:tabs>
          <w:tab w:val="left" w:pos="720"/>
        </w:tabs>
        <w:jc w:val="both"/>
      </w:pPr>
      <w:r w:rsidRPr="008D26ED">
        <w:t>The</w:t>
      </w:r>
      <w:r w:rsidRPr="008D26ED">
        <w:rPr>
          <w:spacing w:val="-5"/>
        </w:rPr>
        <w:t xml:space="preserve"> </w:t>
      </w:r>
      <w:r w:rsidRPr="008D26ED">
        <w:t>above-noted</w:t>
      </w:r>
      <w:r w:rsidRPr="008D26ED">
        <w:rPr>
          <w:spacing w:val="-2"/>
        </w:rPr>
        <w:t xml:space="preserve"> </w:t>
      </w:r>
      <w:r w:rsidRPr="008D26ED">
        <w:t>allocation</w:t>
      </w:r>
      <w:r w:rsidRPr="008D26ED">
        <w:rPr>
          <w:spacing w:val="-2"/>
        </w:rPr>
        <w:t xml:space="preserve"> </w:t>
      </w:r>
      <w:r w:rsidRPr="008D26ED">
        <w:t>of</w:t>
      </w:r>
      <w:r w:rsidRPr="008D26ED">
        <w:rPr>
          <w:spacing w:val="-4"/>
        </w:rPr>
        <w:t xml:space="preserve"> </w:t>
      </w:r>
      <w:r w:rsidRPr="008D26ED">
        <w:t>capital</w:t>
      </w:r>
      <w:r w:rsidRPr="008D26ED">
        <w:rPr>
          <w:spacing w:val="-5"/>
        </w:rPr>
        <w:t xml:space="preserve"> </w:t>
      </w:r>
      <w:r w:rsidRPr="008D26ED">
        <w:t>represents</w:t>
      </w:r>
      <w:r w:rsidRPr="008D26ED">
        <w:rPr>
          <w:spacing w:val="-3"/>
        </w:rPr>
        <w:t xml:space="preserve"> </w:t>
      </w:r>
      <w:r w:rsidRPr="008D26ED">
        <w:t>the</w:t>
      </w:r>
      <w:r w:rsidRPr="008D26ED">
        <w:rPr>
          <w:spacing w:val="-4"/>
        </w:rPr>
        <w:t xml:space="preserve"> </w:t>
      </w:r>
      <w:r w:rsidRPr="008D26ED">
        <w:t>Company’s</w:t>
      </w:r>
      <w:r w:rsidRPr="008D26ED">
        <w:rPr>
          <w:spacing w:val="-2"/>
        </w:rPr>
        <w:t xml:space="preserve"> </w:t>
      </w:r>
      <w:r w:rsidRPr="008D26ED">
        <w:t>current</w:t>
      </w:r>
      <w:r w:rsidRPr="008D26ED">
        <w:rPr>
          <w:spacing w:val="-2"/>
        </w:rPr>
        <w:t xml:space="preserve"> </w:t>
      </w:r>
      <w:r w:rsidRPr="008D26ED">
        <w:t>intentions</w:t>
      </w:r>
      <w:r w:rsidRPr="008D26ED">
        <w:rPr>
          <w:spacing w:val="-1"/>
        </w:rPr>
        <w:t xml:space="preserve"> </w:t>
      </w:r>
      <w:r w:rsidRPr="008D26ED">
        <w:t>based</w:t>
      </w:r>
      <w:r w:rsidRPr="008D26ED">
        <w:rPr>
          <w:spacing w:val="-2"/>
        </w:rPr>
        <w:t xml:space="preserve"> </w:t>
      </w:r>
      <w:r w:rsidRPr="008D26ED">
        <w:t>upon</w:t>
      </w:r>
      <w:r w:rsidRPr="008D26ED">
        <w:rPr>
          <w:spacing w:val="-4"/>
        </w:rPr>
        <w:t xml:space="preserve"> </w:t>
      </w:r>
      <w:r w:rsidRPr="008D26ED">
        <w:t>its present</w:t>
      </w:r>
      <w:r w:rsidRPr="008D26ED">
        <w:rPr>
          <w:spacing w:val="-1"/>
        </w:rPr>
        <w:t xml:space="preserve"> </w:t>
      </w:r>
      <w:r w:rsidRPr="008D26ED">
        <w:t>plans and business condition,</w:t>
      </w:r>
      <w:r w:rsidRPr="008D26ED">
        <w:rPr>
          <w:spacing w:val="-2"/>
        </w:rPr>
        <w:t xml:space="preserve"> </w:t>
      </w:r>
      <w:r w:rsidRPr="008D26ED">
        <w:t>which</w:t>
      </w:r>
      <w:r w:rsidRPr="008D26ED">
        <w:rPr>
          <w:spacing w:val="-1"/>
        </w:rPr>
        <w:t xml:space="preserve"> </w:t>
      </w:r>
      <w:r w:rsidRPr="008D26ED">
        <w:t>could</w:t>
      </w:r>
      <w:r w:rsidRPr="008D26ED">
        <w:rPr>
          <w:spacing w:val="-1"/>
        </w:rPr>
        <w:t xml:space="preserve"> </w:t>
      </w:r>
      <w:r w:rsidRPr="008D26ED">
        <w:t>change in</w:t>
      </w:r>
      <w:r w:rsidRPr="008D26ED">
        <w:rPr>
          <w:spacing w:val="-1"/>
        </w:rPr>
        <w:t xml:space="preserve"> </w:t>
      </w:r>
      <w:r w:rsidRPr="008D26ED">
        <w:t>the</w:t>
      </w:r>
      <w:r w:rsidRPr="008D26ED">
        <w:rPr>
          <w:spacing w:val="-2"/>
        </w:rPr>
        <w:t xml:space="preserve"> </w:t>
      </w:r>
      <w:r w:rsidRPr="008D26ED">
        <w:t>future as its plans and business conditions evolve. Although the Company intends to use the proceeds from the Offering as set forth above, there may be circumstances where, for sound business reasons, a reallocation of funds</w:t>
      </w:r>
      <w:r w:rsidRPr="008D26ED">
        <w:rPr>
          <w:spacing w:val="-4"/>
        </w:rPr>
        <w:t xml:space="preserve"> </w:t>
      </w:r>
      <w:r w:rsidRPr="008D26ED">
        <w:t>may</w:t>
      </w:r>
      <w:r w:rsidRPr="008D26ED">
        <w:rPr>
          <w:spacing w:val="-4"/>
        </w:rPr>
        <w:t xml:space="preserve"> </w:t>
      </w:r>
      <w:r w:rsidRPr="008D26ED">
        <w:t>be</w:t>
      </w:r>
      <w:r w:rsidRPr="008D26ED">
        <w:rPr>
          <w:spacing w:val="-3"/>
        </w:rPr>
        <w:t xml:space="preserve"> </w:t>
      </w:r>
      <w:r w:rsidRPr="008D26ED">
        <w:t>deemed</w:t>
      </w:r>
      <w:r w:rsidRPr="008D26ED">
        <w:rPr>
          <w:spacing w:val="-5"/>
        </w:rPr>
        <w:t xml:space="preserve"> </w:t>
      </w:r>
      <w:r w:rsidRPr="008D26ED">
        <w:t>prudent</w:t>
      </w:r>
      <w:r w:rsidRPr="008D26ED">
        <w:rPr>
          <w:spacing w:val="-5"/>
        </w:rPr>
        <w:t xml:space="preserve"> </w:t>
      </w:r>
      <w:r w:rsidRPr="008D26ED">
        <w:t>or</w:t>
      </w:r>
      <w:r w:rsidRPr="008D26ED">
        <w:rPr>
          <w:spacing w:val="-2"/>
        </w:rPr>
        <w:t xml:space="preserve"> </w:t>
      </w:r>
      <w:r w:rsidRPr="008D26ED">
        <w:t>necessary</w:t>
      </w:r>
      <w:r w:rsidRPr="008D26ED">
        <w:rPr>
          <w:spacing w:val="-2"/>
        </w:rPr>
        <w:t xml:space="preserve"> </w:t>
      </w:r>
      <w:r w:rsidRPr="008D26ED">
        <w:t>and</w:t>
      </w:r>
      <w:r w:rsidRPr="008D26ED">
        <w:rPr>
          <w:spacing w:val="-3"/>
        </w:rPr>
        <w:t xml:space="preserve"> </w:t>
      </w:r>
      <w:r w:rsidRPr="008D26ED">
        <w:t>may</w:t>
      </w:r>
      <w:r w:rsidRPr="008D26ED">
        <w:rPr>
          <w:spacing w:val="-2"/>
        </w:rPr>
        <w:t xml:space="preserve"> </w:t>
      </w:r>
      <w:r w:rsidRPr="008D26ED">
        <w:t>vary</w:t>
      </w:r>
      <w:r w:rsidRPr="008D26ED">
        <w:rPr>
          <w:spacing w:val="-3"/>
        </w:rPr>
        <w:t xml:space="preserve"> </w:t>
      </w:r>
      <w:r w:rsidRPr="008D26ED">
        <w:t>materially</w:t>
      </w:r>
      <w:r w:rsidRPr="008D26ED">
        <w:rPr>
          <w:spacing w:val="-4"/>
        </w:rPr>
        <w:t xml:space="preserve"> </w:t>
      </w:r>
      <w:r w:rsidRPr="008D26ED">
        <w:t>from</w:t>
      </w:r>
      <w:r w:rsidRPr="008D26ED">
        <w:rPr>
          <w:spacing w:val="-5"/>
        </w:rPr>
        <w:t xml:space="preserve"> </w:t>
      </w:r>
      <w:r w:rsidRPr="008D26ED">
        <w:t>that</w:t>
      </w:r>
      <w:r w:rsidRPr="008D26ED">
        <w:rPr>
          <w:spacing w:val="-5"/>
        </w:rPr>
        <w:t xml:space="preserve"> </w:t>
      </w:r>
      <w:r w:rsidRPr="008D26ED">
        <w:t>set</w:t>
      </w:r>
      <w:r w:rsidRPr="008D26ED">
        <w:rPr>
          <w:spacing w:val="-5"/>
        </w:rPr>
        <w:t xml:space="preserve"> </w:t>
      </w:r>
      <w:r w:rsidRPr="008D26ED">
        <w:t>forth</w:t>
      </w:r>
      <w:r w:rsidRPr="008D26ED">
        <w:rPr>
          <w:spacing w:val="-3"/>
        </w:rPr>
        <w:t xml:space="preserve"> </w:t>
      </w:r>
      <w:r w:rsidRPr="008D26ED">
        <w:t>above,</w:t>
      </w:r>
      <w:r w:rsidRPr="008D26ED">
        <w:rPr>
          <w:spacing w:val="-4"/>
        </w:rPr>
        <w:t xml:space="preserve"> </w:t>
      </w:r>
      <w:r w:rsidRPr="008D26ED">
        <w:t xml:space="preserve">as the amounts actually allocated and spent will depend on a number of factors, including the Company’s ability to execute on its business plan. See </w:t>
      </w:r>
      <w:r w:rsidR="00782D24">
        <w:t>“</w:t>
      </w:r>
      <w:r w:rsidRPr="008D26ED">
        <w:rPr>
          <w:i/>
        </w:rPr>
        <w:t>Cautionary Note Regarding Forward- Looking Statements</w:t>
      </w:r>
      <w:r w:rsidR="00782D24">
        <w:t>”</w:t>
      </w:r>
      <w:r w:rsidRPr="008D26ED">
        <w:t>.</w:t>
      </w:r>
    </w:p>
    <w:p w:rsidR="004D7A2D" w:rsidP="00DA139B" w14:paraId="74C27136" w14:textId="77777777">
      <w:pPr>
        <w:pStyle w:val="BodyText"/>
        <w:tabs>
          <w:tab w:val="left" w:pos="720"/>
        </w:tabs>
        <w:spacing w:before="1"/>
        <w:jc w:val="both"/>
        <w:rPr>
          <w:sz w:val="21"/>
        </w:rPr>
      </w:pPr>
    </w:p>
    <w:p w:rsidR="004D7A2D" w:rsidP="00DA139B" w14:paraId="627E09D8" w14:textId="53D7F232">
      <w:pPr>
        <w:pStyle w:val="ListParagraph"/>
        <w:tabs>
          <w:tab w:val="left" w:pos="720"/>
          <w:tab w:val="left" w:pos="913"/>
        </w:tabs>
        <w:ind w:left="0" w:firstLine="0"/>
        <w:jc w:val="both"/>
        <w:rPr>
          <w:sz w:val="20"/>
        </w:rPr>
      </w:pPr>
      <w:r>
        <w:rPr>
          <w:sz w:val="20"/>
        </w:rPr>
        <w:t>The most recent</w:t>
      </w:r>
      <w:r w:rsidR="009156A3">
        <w:rPr>
          <w:sz w:val="20"/>
        </w:rPr>
        <w:t>ly filed unaudited</w:t>
      </w:r>
      <w:r>
        <w:rPr>
          <w:sz w:val="20"/>
        </w:rPr>
        <w:t xml:space="preserve"> condensed </w:t>
      </w:r>
      <w:r w:rsidR="003C72B6">
        <w:rPr>
          <w:sz w:val="20"/>
        </w:rPr>
        <w:t xml:space="preserve">consolidated </w:t>
      </w:r>
      <w:r>
        <w:rPr>
          <w:sz w:val="20"/>
        </w:rPr>
        <w:t>interim financial statements of the Company</w:t>
      </w:r>
      <w:r w:rsidR="000751A8">
        <w:rPr>
          <w:sz w:val="20"/>
        </w:rPr>
        <w:t xml:space="preserve"> for the period ended </w:t>
      </w:r>
      <w:r w:rsidR="00DA2B94">
        <w:rPr>
          <w:sz w:val="20"/>
        </w:rPr>
        <w:t>March 31, 2025</w:t>
      </w:r>
      <w:r w:rsidR="000751A8">
        <w:rPr>
          <w:sz w:val="20"/>
        </w:rPr>
        <w:t xml:space="preserve"> (the “</w:t>
      </w:r>
      <w:r w:rsidR="000751A8">
        <w:rPr>
          <w:b/>
          <w:bCs/>
          <w:sz w:val="20"/>
        </w:rPr>
        <w:t>Interim Financial Statements</w:t>
      </w:r>
      <w:r w:rsidR="000751A8">
        <w:rPr>
          <w:sz w:val="20"/>
        </w:rPr>
        <w:t>”)</w:t>
      </w:r>
      <w:r>
        <w:rPr>
          <w:sz w:val="20"/>
        </w:rPr>
        <w:t xml:space="preserve"> included a going</w:t>
      </w:r>
      <w:r>
        <w:rPr>
          <w:spacing w:val="40"/>
          <w:sz w:val="20"/>
        </w:rPr>
        <w:t xml:space="preserve"> </w:t>
      </w:r>
      <w:r>
        <w:rPr>
          <w:sz w:val="20"/>
        </w:rPr>
        <w:t>concern</w:t>
      </w:r>
      <w:r>
        <w:rPr>
          <w:spacing w:val="-6"/>
          <w:sz w:val="20"/>
        </w:rPr>
        <w:t xml:space="preserve"> </w:t>
      </w:r>
      <w:r>
        <w:rPr>
          <w:sz w:val="20"/>
        </w:rPr>
        <w:t>note.</w:t>
      </w:r>
      <w:r w:rsidR="001C3E14">
        <w:rPr>
          <w:sz w:val="20"/>
        </w:rPr>
        <w:t xml:space="preserve"> </w:t>
      </w:r>
      <w:r>
        <w:rPr>
          <w:sz w:val="20"/>
        </w:rPr>
        <w:t>There can be no assurance</w:t>
      </w:r>
      <w:r>
        <w:rPr>
          <w:spacing w:val="-2"/>
          <w:sz w:val="20"/>
        </w:rPr>
        <w:t xml:space="preserve"> </w:t>
      </w:r>
      <w:r>
        <w:rPr>
          <w:sz w:val="20"/>
        </w:rPr>
        <w:t>that</w:t>
      </w:r>
      <w:r>
        <w:rPr>
          <w:spacing w:val="-2"/>
          <w:sz w:val="20"/>
        </w:rPr>
        <w:t xml:space="preserve"> </w:t>
      </w:r>
      <w:r>
        <w:rPr>
          <w:sz w:val="20"/>
        </w:rPr>
        <w:t>the</w:t>
      </w:r>
      <w:r>
        <w:rPr>
          <w:spacing w:val="-3"/>
          <w:sz w:val="20"/>
        </w:rPr>
        <w:t xml:space="preserve"> </w:t>
      </w:r>
      <w:r>
        <w:rPr>
          <w:sz w:val="20"/>
        </w:rPr>
        <w:t>Company’s</w:t>
      </w:r>
      <w:r>
        <w:rPr>
          <w:spacing w:val="-1"/>
          <w:sz w:val="20"/>
        </w:rPr>
        <w:t xml:space="preserve"> </w:t>
      </w:r>
      <w:r>
        <w:rPr>
          <w:sz w:val="20"/>
        </w:rPr>
        <w:t>business and</w:t>
      </w:r>
      <w:r>
        <w:rPr>
          <w:spacing w:val="-1"/>
          <w:sz w:val="20"/>
        </w:rPr>
        <w:t xml:space="preserve"> </w:t>
      </w:r>
      <w:r>
        <w:rPr>
          <w:sz w:val="20"/>
        </w:rPr>
        <w:t>strategy</w:t>
      </w:r>
      <w:r>
        <w:rPr>
          <w:spacing w:val="-2"/>
          <w:sz w:val="20"/>
        </w:rPr>
        <w:t xml:space="preserve"> </w:t>
      </w:r>
      <w:r>
        <w:rPr>
          <w:sz w:val="20"/>
        </w:rPr>
        <w:t>will</w:t>
      </w:r>
      <w:r>
        <w:rPr>
          <w:spacing w:val="-2"/>
          <w:sz w:val="20"/>
        </w:rPr>
        <w:t xml:space="preserve"> </w:t>
      </w:r>
      <w:r>
        <w:rPr>
          <w:sz w:val="20"/>
        </w:rPr>
        <w:t>enable it</w:t>
      </w:r>
      <w:r>
        <w:rPr>
          <w:spacing w:val="-2"/>
          <w:sz w:val="20"/>
        </w:rPr>
        <w:t xml:space="preserve"> </w:t>
      </w:r>
      <w:r>
        <w:rPr>
          <w:sz w:val="20"/>
        </w:rPr>
        <w:t xml:space="preserve">to </w:t>
      </w:r>
      <w:r w:rsidR="00850FC5">
        <w:rPr>
          <w:sz w:val="20"/>
        </w:rPr>
        <w:t>generate or sustain positive cash flows from operations i</w:t>
      </w:r>
      <w:r>
        <w:rPr>
          <w:sz w:val="20"/>
        </w:rPr>
        <w:t xml:space="preserve">n future periods. The Offering is intended to </w:t>
      </w:r>
      <w:r w:rsidR="001C3E14">
        <w:rPr>
          <w:sz w:val="20"/>
        </w:rPr>
        <w:t xml:space="preserve">strengthen the Company’s balance sheet and </w:t>
      </w:r>
      <w:r>
        <w:rPr>
          <w:sz w:val="20"/>
        </w:rPr>
        <w:t>permit the Company to continue its operations</w:t>
      </w:r>
      <w:r w:rsidR="001C3E14">
        <w:rPr>
          <w:sz w:val="20"/>
        </w:rPr>
        <w:t>.</w:t>
      </w:r>
      <w:r w:rsidR="00DA2B94">
        <w:rPr>
          <w:sz w:val="20"/>
        </w:rPr>
        <w:t xml:space="preserve"> The Offering may alleviate the risk that the Company is unable to continue as a going concern, but is unlikely to result in the removal of that notation in the Company’s financial statement filings for the foreseeable future</w:t>
      </w:r>
      <w:r>
        <w:rPr>
          <w:sz w:val="20"/>
        </w:rPr>
        <w:t>.</w:t>
      </w:r>
    </w:p>
    <w:p w:rsidR="004D7A2D" w:rsidP="00FD7516" w14:paraId="184C8C99" w14:textId="77777777">
      <w:pPr>
        <w:pStyle w:val="BodyText"/>
        <w:tabs>
          <w:tab w:val="left" w:pos="720"/>
        </w:tabs>
        <w:jc w:val="both"/>
        <w:rPr>
          <w:sz w:val="22"/>
        </w:rPr>
      </w:pPr>
    </w:p>
    <w:p w:rsidR="00095D20" w:rsidP="00FD7516" w14:paraId="7B09B6E3" w14:textId="65EA0DFC">
      <w:pPr>
        <w:pStyle w:val="ListParagraph"/>
        <w:tabs>
          <w:tab w:val="left" w:pos="720"/>
          <w:tab w:val="left" w:pos="929"/>
        </w:tabs>
        <w:ind w:left="0" w:firstLine="0"/>
        <w:jc w:val="both"/>
        <w:rPr>
          <w:sz w:val="20"/>
        </w:rPr>
      </w:pPr>
      <w:r>
        <w:rPr>
          <w:sz w:val="20"/>
        </w:rPr>
        <w:t>None of the available funds will be paid to an insider, associate or affiliate of the Company, except</w:t>
      </w:r>
      <w:r>
        <w:rPr>
          <w:spacing w:val="-4"/>
          <w:sz w:val="20"/>
        </w:rPr>
        <w:t xml:space="preserve"> </w:t>
      </w:r>
      <w:r>
        <w:rPr>
          <w:sz w:val="20"/>
        </w:rPr>
        <w:t>for</w:t>
      </w:r>
      <w:r>
        <w:rPr>
          <w:spacing w:val="-3"/>
          <w:sz w:val="20"/>
        </w:rPr>
        <w:t xml:space="preserve"> </w:t>
      </w:r>
      <w:r>
        <w:rPr>
          <w:sz w:val="20"/>
        </w:rPr>
        <w:t>normal</w:t>
      </w:r>
      <w:r>
        <w:rPr>
          <w:spacing w:val="-5"/>
          <w:sz w:val="20"/>
        </w:rPr>
        <w:t xml:space="preserve"> </w:t>
      </w:r>
      <w:r>
        <w:rPr>
          <w:sz w:val="20"/>
        </w:rPr>
        <w:t>course</w:t>
      </w:r>
      <w:r>
        <w:rPr>
          <w:spacing w:val="-4"/>
          <w:sz w:val="20"/>
        </w:rPr>
        <w:t xml:space="preserve"> </w:t>
      </w:r>
      <w:r>
        <w:rPr>
          <w:sz w:val="20"/>
        </w:rPr>
        <w:t>salaries</w:t>
      </w:r>
      <w:r>
        <w:rPr>
          <w:spacing w:val="-3"/>
          <w:sz w:val="20"/>
        </w:rPr>
        <w:t xml:space="preserve"> </w:t>
      </w:r>
      <w:r>
        <w:rPr>
          <w:sz w:val="20"/>
        </w:rPr>
        <w:t>or</w:t>
      </w:r>
      <w:r>
        <w:rPr>
          <w:spacing w:val="-4"/>
          <w:sz w:val="20"/>
        </w:rPr>
        <w:t xml:space="preserve"> </w:t>
      </w:r>
      <w:r>
        <w:rPr>
          <w:sz w:val="20"/>
        </w:rPr>
        <w:t>consulting</w:t>
      </w:r>
      <w:r>
        <w:rPr>
          <w:spacing w:val="-5"/>
          <w:sz w:val="20"/>
        </w:rPr>
        <w:t xml:space="preserve"> </w:t>
      </w:r>
      <w:r>
        <w:rPr>
          <w:sz w:val="20"/>
        </w:rPr>
        <w:t>fees</w:t>
      </w:r>
      <w:r>
        <w:rPr>
          <w:spacing w:val="-3"/>
          <w:sz w:val="20"/>
        </w:rPr>
        <w:t xml:space="preserve"> </w:t>
      </w:r>
      <w:r>
        <w:rPr>
          <w:sz w:val="20"/>
        </w:rPr>
        <w:t>currently</w:t>
      </w:r>
      <w:r>
        <w:rPr>
          <w:spacing w:val="-3"/>
          <w:sz w:val="20"/>
        </w:rPr>
        <w:t xml:space="preserve"> </w:t>
      </w:r>
      <w:r>
        <w:rPr>
          <w:sz w:val="20"/>
        </w:rPr>
        <w:t>paid</w:t>
      </w:r>
      <w:r>
        <w:rPr>
          <w:spacing w:val="-4"/>
          <w:sz w:val="20"/>
        </w:rPr>
        <w:t xml:space="preserve"> </w:t>
      </w:r>
      <w:r>
        <w:rPr>
          <w:sz w:val="20"/>
        </w:rPr>
        <w:t>by</w:t>
      </w:r>
      <w:r>
        <w:rPr>
          <w:spacing w:val="-3"/>
          <w:sz w:val="20"/>
        </w:rPr>
        <w:t xml:space="preserve"> </w:t>
      </w:r>
      <w:r>
        <w:rPr>
          <w:sz w:val="20"/>
        </w:rPr>
        <w:t>the</w:t>
      </w:r>
      <w:r>
        <w:rPr>
          <w:spacing w:val="-4"/>
          <w:sz w:val="20"/>
        </w:rPr>
        <w:t xml:space="preserve"> </w:t>
      </w:r>
      <w:r>
        <w:rPr>
          <w:sz w:val="20"/>
        </w:rPr>
        <w:t>Company</w:t>
      </w:r>
      <w:r>
        <w:rPr>
          <w:spacing w:val="-3"/>
          <w:sz w:val="20"/>
        </w:rPr>
        <w:t xml:space="preserve"> </w:t>
      </w:r>
      <w:r>
        <w:rPr>
          <w:sz w:val="20"/>
        </w:rPr>
        <w:t>to</w:t>
      </w:r>
      <w:r>
        <w:rPr>
          <w:spacing w:val="-4"/>
          <w:sz w:val="20"/>
        </w:rPr>
        <w:t xml:space="preserve"> </w:t>
      </w:r>
      <w:r>
        <w:rPr>
          <w:sz w:val="20"/>
        </w:rPr>
        <w:t>its</w:t>
      </w:r>
      <w:r>
        <w:rPr>
          <w:spacing w:val="-3"/>
          <w:sz w:val="20"/>
        </w:rPr>
        <w:t xml:space="preserve"> </w:t>
      </w:r>
      <w:r w:rsidR="007015FB">
        <w:rPr>
          <w:spacing w:val="-3"/>
          <w:sz w:val="20"/>
        </w:rPr>
        <w:t xml:space="preserve">employees, consultants, </w:t>
      </w:r>
      <w:r>
        <w:rPr>
          <w:sz w:val="20"/>
        </w:rPr>
        <w:t>officers and/or directors.</w:t>
      </w:r>
    </w:p>
    <w:p w:rsidR="00BC4311" w:rsidP="00FD7516" w14:paraId="759A6C2D" w14:textId="77777777">
      <w:pPr>
        <w:pStyle w:val="ListParagraph"/>
        <w:tabs>
          <w:tab w:val="left" w:pos="720"/>
          <w:tab w:val="left" w:pos="929"/>
        </w:tabs>
        <w:ind w:left="0" w:firstLine="0"/>
        <w:jc w:val="both"/>
        <w:rPr>
          <w:sz w:val="20"/>
        </w:rPr>
      </w:pPr>
    </w:p>
    <w:p w:rsidR="004D7A2D" w:rsidRPr="002E3E2F" w:rsidP="00DA139B" w14:paraId="4B6139BC" w14:textId="71F5E7EC">
      <w:pPr>
        <w:pStyle w:val="BodyText"/>
        <w:rPr>
          <w:b/>
          <w:bCs/>
        </w:rPr>
      </w:pPr>
      <w:r w:rsidRPr="002E3E2F">
        <w:rPr>
          <w:b/>
          <w:bCs/>
        </w:rPr>
        <w:t>How have we used other funds we have raised in the past 12 months?</w:t>
      </w:r>
    </w:p>
    <w:p w:rsidR="00282DFA" w:rsidP="00DA139B" w14:paraId="33F5AC78" w14:textId="77777777">
      <w:pPr>
        <w:pStyle w:val="BodyText"/>
        <w:jc w:val="both"/>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1923"/>
        <w:gridCol w:w="1943"/>
        <w:gridCol w:w="1967"/>
        <w:gridCol w:w="1830"/>
        <w:gridCol w:w="2227"/>
      </w:tblGrid>
      <w:tr w14:paraId="68D8D039" w14:textId="77777777" w:rsidTr="00417B96">
        <w:tblPrEx>
          <w:tblW w:w="0" w:type="auto"/>
          <w:tblInd w:w="0" w:type="dxa"/>
          <w:tblLook w:val="04A0"/>
        </w:tblPrEx>
        <w:trPr>
          <w:tblHeader/>
        </w:trPr>
        <w:tc>
          <w:tcPr>
            <w:tcW w:w="1923" w:type="dxa"/>
            <w:shd w:val="clear" w:color="auto" w:fill="F2F2F2" w:themeFill="background1" w:themeFillShade="F2"/>
            <w:vAlign w:val="center"/>
          </w:tcPr>
          <w:p w:rsidR="0050531A" w:rsidRPr="00441830" w:rsidP="00FF2B3B" w14:paraId="2702C780" w14:textId="77777777">
            <w:pPr>
              <w:pStyle w:val="BodyText"/>
              <w:widowControl w:val="0"/>
              <w:autoSpaceDE/>
              <w:autoSpaceDN/>
              <w:spacing w:before="120" w:after="120"/>
              <w:jc w:val="center"/>
              <w:rPr>
                <w:rFonts w:ascii="Arial" w:eastAsia="Arial" w:hAnsi="Arial" w:cs="Arial"/>
                <w:b/>
                <w:sz w:val="20"/>
                <w:szCs w:val="20"/>
                <w:lang w:val="en-US" w:eastAsia="en-US" w:bidi="ar-SA"/>
              </w:rPr>
            </w:pPr>
            <w:r w:rsidRPr="00441830">
              <w:rPr>
                <w:rFonts w:ascii="Arial" w:eastAsia="Arial" w:hAnsi="Arial" w:cs="Arial"/>
                <w:b/>
                <w:sz w:val="20"/>
                <w:szCs w:val="20"/>
                <w:lang w:val="en-US" w:eastAsia="en-US" w:bidi="ar-SA"/>
              </w:rPr>
              <w:t>Date of Financing</w:t>
            </w:r>
          </w:p>
        </w:tc>
        <w:tc>
          <w:tcPr>
            <w:tcW w:w="1943" w:type="dxa"/>
            <w:shd w:val="clear" w:color="auto" w:fill="F2F2F2" w:themeFill="background1" w:themeFillShade="F2"/>
            <w:vAlign w:val="center"/>
          </w:tcPr>
          <w:p w:rsidR="0050531A" w:rsidRPr="00441830" w:rsidP="00FF2B3B" w14:paraId="30AC4BEC" w14:textId="77777777">
            <w:pPr>
              <w:pStyle w:val="BodyText"/>
              <w:widowControl w:val="0"/>
              <w:autoSpaceDE/>
              <w:autoSpaceDN/>
              <w:spacing w:before="120" w:after="120"/>
              <w:jc w:val="center"/>
              <w:rPr>
                <w:rFonts w:ascii="Arial" w:eastAsia="Arial" w:hAnsi="Arial" w:cs="Arial"/>
                <w:b/>
                <w:sz w:val="20"/>
                <w:szCs w:val="20"/>
                <w:lang w:val="en-US" w:eastAsia="en-US" w:bidi="ar-SA"/>
              </w:rPr>
            </w:pPr>
            <w:r w:rsidRPr="00441830">
              <w:rPr>
                <w:rFonts w:ascii="Arial" w:eastAsia="Arial" w:hAnsi="Arial" w:cs="Arial"/>
                <w:b/>
                <w:sz w:val="20"/>
                <w:szCs w:val="20"/>
                <w:lang w:val="en-US" w:eastAsia="en-US" w:bidi="ar-SA"/>
              </w:rPr>
              <w:t>Funds Raised</w:t>
            </w:r>
          </w:p>
        </w:tc>
        <w:tc>
          <w:tcPr>
            <w:tcW w:w="1967" w:type="dxa"/>
            <w:shd w:val="clear" w:color="auto" w:fill="F2F2F2" w:themeFill="background1" w:themeFillShade="F2"/>
            <w:vAlign w:val="center"/>
          </w:tcPr>
          <w:p w:rsidR="0050531A" w:rsidRPr="00441830" w:rsidP="00FF2B3B" w14:paraId="5CE96F14" w14:textId="255FC8B4">
            <w:pPr>
              <w:pStyle w:val="BodyText"/>
              <w:widowControl w:val="0"/>
              <w:autoSpaceDE/>
              <w:autoSpaceDN/>
              <w:spacing w:before="120" w:after="120"/>
              <w:jc w:val="center"/>
              <w:rPr>
                <w:rFonts w:ascii="Arial" w:eastAsia="Arial" w:hAnsi="Arial" w:cs="Arial"/>
                <w:b/>
                <w:sz w:val="20"/>
                <w:szCs w:val="20"/>
                <w:lang w:val="en-US" w:eastAsia="en-US" w:bidi="ar-SA"/>
              </w:rPr>
            </w:pPr>
            <w:r>
              <w:rPr>
                <w:rFonts w:ascii="Arial" w:eastAsia="Arial" w:hAnsi="Arial" w:cs="Arial"/>
                <w:b/>
                <w:sz w:val="20"/>
                <w:szCs w:val="20"/>
                <w:lang w:val="en-US" w:eastAsia="en-US" w:bidi="ar-SA"/>
              </w:rPr>
              <w:t>Intended</w:t>
            </w:r>
            <w:r w:rsidRPr="00441830">
              <w:rPr>
                <w:rFonts w:ascii="Arial" w:eastAsia="Arial" w:hAnsi="Arial" w:cs="Arial"/>
                <w:b/>
                <w:sz w:val="20"/>
                <w:szCs w:val="20"/>
                <w:lang w:val="en-US" w:eastAsia="en-US" w:bidi="ar-SA"/>
              </w:rPr>
              <w:t xml:space="preserve"> Use of Funds</w:t>
            </w:r>
          </w:p>
        </w:tc>
        <w:tc>
          <w:tcPr>
            <w:tcW w:w="1830" w:type="dxa"/>
            <w:shd w:val="clear" w:color="auto" w:fill="F2F2F2" w:themeFill="background1" w:themeFillShade="F2"/>
          </w:tcPr>
          <w:p w:rsidR="0050531A" w:rsidRPr="00441830" w:rsidP="00FF2B3B" w14:paraId="2AAAB801" w14:textId="1D1FF610">
            <w:pPr>
              <w:pStyle w:val="BodyText"/>
              <w:widowControl/>
              <w:autoSpaceDE/>
              <w:autoSpaceDN/>
              <w:spacing w:before="120" w:after="120"/>
              <w:jc w:val="center"/>
              <w:rPr>
                <w:rFonts w:ascii="Arial" w:eastAsia="Arial" w:hAnsi="Arial" w:cs="Arial"/>
                <w:b/>
                <w:sz w:val="20"/>
                <w:szCs w:val="20"/>
                <w:lang w:val="en-US" w:eastAsia="en-US" w:bidi="ar-SA"/>
              </w:rPr>
            </w:pPr>
            <w:r>
              <w:rPr>
                <w:rFonts w:ascii="Arial" w:eastAsia="Arial" w:hAnsi="Arial" w:cs="Arial"/>
                <w:b/>
                <w:sz w:val="20"/>
                <w:szCs w:val="20"/>
                <w:lang w:val="en-US" w:eastAsia="en-US" w:bidi="ar-SA"/>
              </w:rPr>
              <w:t>Variance between Intended and Actual Use of Funds</w:t>
            </w:r>
          </w:p>
        </w:tc>
        <w:tc>
          <w:tcPr>
            <w:tcW w:w="2227" w:type="dxa"/>
            <w:shd w:val="clear" w:color="auto" w:fill="F2F2F2" w:themeFill="background1" w:themeFillShade="F2"/>
            <w:vAlign w:val="center"/>
          </w:tcPr>
          <w:p w:rsidR="0050531A" w:rsidRPr="00441830" w:rsidP="00FF2B3B" w14:paraId="02574403" w14:textId="739495F8">
            <w:pPr>
              <w:pStyle w:val="BodyText"/>
              <w:widowControl w:val="0"/>
              <w:autoSpaceDE/>
              <w:autoSpaceDN/>
              <w:spacing w:before="120" w:after="120"/>
              <w:jc w:val="center"/>
              <w:rPr>
                <w:rFonts w:ascii="Arial" w:eastAsia="Arial" w:hAnsi="Arial" w:cs="Arial"/>
                <w:b/>
                <w:sz w:val="20"/>
                <w:szCs w:val="20"/>
                <w:lang w:val="en-US" w:eastAsia="en-US" w:bidi="ar-SA"/>
              </w:rPr>
            </w:pPr>
            <w:r>
              <w:rPr>
                <w:rFonts w:ascii="Arial" w:eastAsia="Arial" w:hAnsi="Arial" w:cs="Arial"/>
                <w:b/>
                <w:sz w:val="20"/>
                <w:szCs w:val="20"/>
                <w:lang w:val="en-US" w:eastAsia="en-US" w:bidi="ar-SA"/>
              </w:rPr>
              <w:t>Impact</w:t>
            </w:r>
            <w:r w:rsidRPr="00441830">
              <w:rPr>
                <w:rFonts w:ascii="Arial" w:eastAsia="Arial" w:hAnsi="Arial" w:cs="Arial"/>
                <w:b/>
                <w:sz w:val="20"/>
                <w:szCs w:val="20"/>
                <w:lang w:val="en-US" w:eastAsia="en-US" w:bidi="ar-SA"/>
              </w:rPr>
              <w:t xml:space="preserve"> of Variances on Business Objectives and Milestones</w:t>
            </w:r>
          </w:p>
        </w:tc>
      </w:tr>
      <w:tr w14:paraId="7553D671" w14:textId="77777777" w:rsidTr="0050531A">
        <w:tblPrEx>
          <w:tblW w:w="0" w:type="auto"/>
          <w:tblInd w:w="0" w:type="dxa"/>
          <w:tblLook w:val="04A0"/>
        </w:tblPrEx>
        <w:tc>
          <w:tcPr>
            <w:tcW w:w="1923" w:type="dxa"/>
          </w:tcPr>
          <w:p w:rsidR="003C72B6" w:rsidP="00FF2B3B" w14:paraId="58A49170" w14:textId="024E7E7E">
            <w:pPr>
              <w:pStyle w:val="BodyText"/>
              <w:widowControl/>
              <w:autoSpaceDE/>
              <w:autoSpaceDN/>
              <w:spacing w:before="120" w:after="120"/>
              <w:rPr>
                <w:rFonts w:ascii="Arial" w:eastAsia="Arial" w:hAnsi="Arial" w:cs="Arial"/>
                <w:sz w:val="20"/>
                <w:szCs w:val="20"/>
                <w:lang w:val="en-US" w:eastAsia="en-US" w:bidi="ar-SA"/>
              </w:rPr>
            </w:pPr>
            <w:r>
              <w:rPr>
                <w:rFonts w:ascii="Arial" w:eastAsia="Arial" w:hAnsi="Arial" w:cs="Arial"/>
                <w:sz w:val="20"/>
                <w:szCs w:val="20"/>
                <w:lang w:val="en-US" w:eastAsia="en-US" w:bidi="ar-SA"/>
              </w:rPr>
              <w:t>May 24, 2025</w:t>
            </w:r>
          </w:p>
        </w:tc>
        <w:tc>
          <w:tcPr>
            <w:tcW w:w="1943" w:type="dxa"/>
          </w:tcPr>
          <w:p w:rsidR="003C72B6" w:rsidP="00FF2B3B" w14:paraId="3C6C56F2" w14:textId="2D508E41">
            <w:pPr>
              <w:pStyle w:val="BodyText"/>
              <w:widowControl/>
              <w:autoSpaceDE/>
              <w:autoSpaceDN/>
              <w:spacing w:before="120" w:after="120"/>
              <w:rPr>
                <w:rFonts w:ascii="Arial" w:eastAsia="Arial" w:hAnsi="Arial" w:cs="Arial"/>
                <w:sz w:val="20"/>
                <w:szCs w:val="20"/>
                <w:lang w:val="en-US" w:eastAsia="en-US" w:bidi="ar-SA"/>
              </w:rPr>
            </w:pPr>
            <w:r>
              <w:rPr>
                <w:rFonts w:ascii="Arial" w:eastAsia="Arial" w:hAnsi="Arial" w:cs="Arial"/>
                <w:sz w:val="20"/>
                <w:szCs w:val="20"/>
                <w:lang w:val="en-US" w:eastAsia="en-US" w:bidi="ar-SA"/>
              </w:rPr>
              <w:t xml:space="preserve">$350,000 </w:t>
            </w:r>
          </w:p>
        </w:tc>
        <w:tc>
          <w:tcPr>
            <w:tcW w:w="1967" w:type="dxa"/>
          </w:tcPr>
          <w:p w:rsidR="003C72B6" w:rsidP="00FF2B3B" w14:paraId="235052EA" w14:textId="066E18B3">
            <w:pPr>
              <w:pStyle w:val="BodyText"/>
              <w:widowControl/>
              <w:autoSpaceDE/>
              <w:autoSpaceDN/>
              <w:spacing w:before="120" w:after="120"/>
              <w:rPr>
                <w:rFonts w:ascii="Arial" w:eastAsia="Arial" w:hAnsi="Arial" w:cs="Arial"/>
                <w:sz w:val="20"/>
                <w:szCs w:val="20"/>
                <w:lang w:val="en-US" w:eastAsia="en-US" w:bidi="ar-SA"/>
              </w:rPr>
            </w:pPr>
            <w:r>
              <w:rPr>
                <w:rFonts w:ascii="Arial" w:eastAsia="Arial" w:hAnsi="Arial" w:cs="Arial"/>
                <w:sz w:val="20"/>
                <w:szCs w:val="20"/>
                <w:lang w:val="en-US" w:eastAsia="en-US" w:bidi="ar-SA"/>
              </w:rPr>
              <w:t>P</w:t>
            </w:r>
            <w:r w:rsidRPr="00DA2B94">
              <w:rPr>
                <w:rFonts w:ascii="Arial" w:eastAsia="Arial" w:hAnsi="Arial" w:cs="Arial"/>
                <w:sz w:val="20"/>
                <w:szCs w:val="20"/>
                <w:lang w:val="en-US" w:eastAsia="en-US" w:bidi="ar-SA"/>
              </w:rPr>
              <w:t>roperty payments and general working capital</w:t>
            </w:r>
          </w:p>
        </w:tc>
        <w:tc>
          <w:tcPr>
            <w:tcW w:w="1830" w:type="dxa"/>
          </w:tcPr>
          <w:p w:rsidR="003C72B6" w:rsidRPr="00F87FBE" w:rsidP="00FF2B3B" w14:paraId="5B899C0B" w14:textId="10BF546D">
            <w:pPr>
              <w:pStyle w:val="BodyText"/>
              <w:widowControl/>
              <w:autoSpaceDE/>
              <w:autoSpaceDN/>
              <w:spacing w:before="120" w:after="120"/>
              <w:rPr>
                <w:rFonts w:ascii="Arial" w:eastAsia="Arial" w:hAnsi="Arial" w:cs="Arial"/>
                <w:sz w:val="20"/>
                <w:szCs w:val="20"/>
                <w:lang w:val="en-US" w:eastAsia="en-US" w:bidi="ar-SA"/>
              </w:rPr>
            </w:pPr>
            <w:r w:rsidRPr="00F87FBE">
              <w:rPr>
                <w:rFonts w:ascii="Arial" w:eastAsia="Arial" w:hAnsi="Arial" w:cs="Arial"/>
                <w:sz w:val="20"/>
                <w:szCs w:val="20"/>
                <w:lang w:val="en-US" w:eastAsia="en-US" w:bidi="ar-SA"/>
              </w:rPr>
              <w:t>Nil</w:t>
            </w:r>
          </w:p>
        </w:tc>
        <w:tc>
          <w:tcPr>
            <w:tcW w:w="2227" w:type="dxa"/>
          </w:tcPr>
          <w:p w:rsidR="003C72B6" w:rsidRPr="00F87FBE" w:rsidP="00FF2B3B" w14:paraId="4934454F" w14:textId="01E9BA33">
            <w:pPr>
              <w:pStyle w:val="BodyText"/>
              <w:widowControl/>
              <w:autoSpaceDE/>
              <w:autoSpaceDN/>
              <w:spacing w:before="120" w:after="120"/>
              <w:rPr>
                <w:rFonts w:ascii="Arial" w:eastAsia="Arial" w:hAnsi="Arial" w:cs="Arial"/>
                <w:sz w:val="20"/>
                <w:szCs w:val="20"/>
                <w:lang w:val="en-US" w:eastAsia="en-US" w:bidi="ar-SA"/>
              </w:rPr>
            </w:pPr>
            <w:r w:rsidRPr="00F87FBE">
              <w:rPr>
                <w:rFonts w:ascii="Arial" w:eastAsia="Arial" w:hAnsi="Arial" w:cs="Arial"/>
                <w:sz w:val="20"/>
                <w:szCs w:val="20"/>
                <w:lang w:val="en-US" w:eastAsia="en-US" w:bidi="ar-SA"/>
              </w:rPr>
              <w:t>N/A</w:t>
            </w:r>
          </w:p>
        </w:tc>
      </w:tr>
      <w:tr w14:paraId="7B92E666" w14:textId="77777777" w:rsidTr="00417B96">
        <w:tblPrEx>
          <w:tblW w:w="0" w:type="auto"/>
          <w:tblInd w:w="0" w:type="dxa"/>
          <w:tblLook w:val="04A0"/>
        </w:tblPrEx>
        <w:tc>
          <w:tcPr>
            <w:tcW w:w="1923" w:type="dxa"/>
          </w:tcPr>
          <w:p w:rsidR="0050531A" w:rsidRPr="005E7202" w:rsidP="00FF2B3B" w14:paraId="60B91032" w14:textId="14443FD7">
            <w:pPr>
              <w:pStyle w:val="BodyText"/>
              <w:widowControl w:val="0"/>
              <w:autoSpaceDE/>
              <w:autoSpaceDN/>
              <w:spacing w:before="120" w:after="120"/>
              <w:rPr>
                <w:rFonts w:ascii="Arial" w:eastAsia="Arial" w:hAnsi="Arial" w:cs="Arial"/>
                <w:sz w:val="20"/>
                <w:szCs w:val="20"/>
                <w:lang w:val="en-US" w:eastAsia="en-US" w:bidi="ar-SA"/>
              </w:rPr>
            </w:pPr>
            <w:r>
              <w:rPr>
                <w:rFonts w:ascii="Arial" w:eastAsia="Arial" w:hAnsi="Arial" w:cs="Arial"/>
                <w:sz w:val="20"/>
                <w:szCs w:val="20"/>
                <w:lang w:val="en-US" w:eastAsia="en-US" w:bidi="ar-SA"/>
              </w:rPr>
              <w:t>December 2, 2024</w:t>
            </w:r>
          </w:p>
        </w:tc>
        <w:tc>
          <w:tcPr>
            <w:tcW w:w="1943" w:type="dxa"/>
          </w:tcPr>
          <w:p w:rsidR="0050531A" w:rsidRPr="00661EDD" w:rsidP="00FF2B3B" w14:paraId="36AF37D0" w14:textId="398DE68A">
            <w:pPr>
              <w:pStyle w:val="BodyText"/>
              <w:widowControl w:val="0"/>
              <w:autoSpaceDE/>
              <w:autoSpaceDN/>
              <w:spacing w:before="120" w:after="120"/>
              <w:rPr>
                <w:rFonts w:ascii="Arial" w:eastAsia="Arial" w:hAnsi="Arial" w:cs="Arial"/>
                <w:sz w:val="20"/>
                <w:szCs w:val="20"/>
                <w:highlight w:val="yellow"/>
                <w:lang w:val="en-US" w:eastAsia="en-US" w:bidi="ar-SA"/>
              </w:rPr>
            </w:pPr>
            <w:r>
              <w:rPr>
                <w:rFonts w:ascii="Arial" w:eastAsia="Arial" w:hAnsi="Arial" w:cs="Arial"/>
                <w:sz w:val="20"/>
                <w:szCs w:val="20"/>
                <w:lang w:val="en-US" w:eastAsia="en-US" w:bidi="ar-SA"/>
              </w:rPr>
              <w:t>$404,999</w:t>
            </w:r>
          </w:p>
        </w:tc>
        <w:tc>
          <w:tcPr>
            <w:tcW w:w="1967" w:type="dxa"/>
          </w:tcPr>
          <w:p w:rsidR="0050531A" w:rsidRPr="00661EDD" w:rsidP="00FF2B3B" w14:paraId="7AFD04BE" w14:textId="134B005B">
            <w:pPr>
              <w:pStyle w:val="BodyText"/>
              <w:widowControl w:val="0"/>
              <w:autoSpaceDE/>
              <w:autoSpaceDN/>
              <w:spacing w:before="120" w:after="120"/>
              <w:rPr>
                <w:rFonts w:ascii="Arial" w:eastAsia="Arial" w:hAnsi="Arial" w:cs="Arial"/>
                <w:sz w:val="20"/>
                <w:szCs w:val="20"/>
                <w:highlight w:val="yellow"/>
                <w:lang w:val="en-US" w:eastAsia="en-US" w:bidi="ar-SA"/>
              </w:rPr>
            </w:pPr>
            <w:r>
              <w:rPr>
                <w:rFonts w:ascii="Arial" w:eastAsia="Arial" w:hAnsi="Arial" w:cs="Arial"/>
                <w:sz w:val="20"/>
                <w:szCs w:val="20"/>
                <w:lang w:val="en-US" w:eastAsia="en-US" w:bidi="ar-SA"/>
              </w:rPr>
              <w:t>G</w:t>
            </w:r>
            <w:r w:rsidRPr="00DA2B94">
              <w:rPr>
                <w:rFonts w:ascii="Arial" w:eastAsia="Arial" w:hAnsi="Arial" w:cs="Arial"/>
                <w:sz w:val="20"/>
                <w:szCs w:val="20"/>
                <w:lang w:val="en-US" w:eastAsia="en-US" w:bidi="ar-SA"/>
              </w:rPr>
              <w:t>eneral working capital purposes and to satisfy existing property commitments and payables</w:t>
            </w:r>
          </w:p>
        </w:tc>
        <w:tc>
          <w:tcPr>
            <w:tcW w:w="1830" w:type="dxa"/>
          </w:tcPr>
          <w:p w:rsidR="0050531A" w:rsidRPr="00F87FBE" w:rsidP="00FF2B3B" w14:paraId="2C9C4C7D" w14:textId="422B7920">
            <w:pPr>
              <w:pStyle w:val="BodyText"/>
              <w:widowControl/>
              <w:autoSpaceDE/>
              <w:autoSpaceDN/>
              <w:spacing w:before="120" w:after="120"/>
              <w:rPr>
                <w:rFonts w:ascii="Arial" w:eastAsia="Arial" w:hAnsi="Arial" w:cs="Arial"/>
                <w:sz w:val="20"/>
                <w:szCs w:val="20"/>
                <w:lang w:val="en-US" w:eastAsia="en-US" w:bidi="ar-SA"/>
              </w:rPr>
            </w:pPr>
            <w:r w:rsidRPr="00F87FBE">
              <w:rPr>
                <w:rFonts w:ascii="Arial" w:eastAsia="Arial" w:hAnsi="Arial" w:cs="Arial"/>
                <w:sz w:val="20"/>
                <w:szCs w:val="20"/>
                <w:lang w:val="en-US" w:eastAsia="en-US" w:bidi="ar-SA"/>
              </w:rPr>
              <w:t>Nil</w:t>
            </w:r>
          </w:p>
        </w:tc>
        <w:tc>
          <w:tcPr>
            <w:tcW w:w="2227" w:type="dxa"/>
          </w:tcPr>
          <w:p w:rsidR="0050531A" w:rsidRPr="00F87FBE" w:rsidP="00FF2B3B" w14:paraId="57ABF996" w14:textId="38980184">
            <w:pPr>
              <w:pStyle w:val="BodyText"/>
              <w:widowControl w:val="0"/>
              <w:autoSpaceDE/>
              <w:autoSpaceDN/>
              <w:spacing w:before="120" w:after="120"/>
              <w:rPr>
                <w:rFonts w:ascii="Arial" w:eastAsia="Arial" w:hAnsi="Arial" w:cs="Arial"/>
                <w:sz w:val="20"/>
                <w:szCs w:val="20"/>
                <w:lang w:val="en-US" w:eastAsia="en-US" w:bidi="ar-SA"/>
              </w:rPr>
            </w:pPr>
            <w:r w:rsidRPr="00F87FBE">
              <w:rPr>
                <w:rFonts w:ascii="Arial" w:eastAsia="Arial" w:hAnsi="Arial" w:cs="Arial"/>
                <w:sz w:val="20"/>
                <w:szCs w:val="20"/>
                <w:lang w:val="en-US" w:eastAsia="en-US" w:bidi="ar-SA"/>
              </w:rPr>
              <w:t>N/A</w:t>
            </w:r>
          </w:p>
        </w:tc>
      </w:tr>
      <w:tr w14:paraId="0D710EE6" w14:textId="77777777" w:rsidTr="00417B96">
        <w:tblPrEx>
          <w:tblW w:w="0" w:type="auto"/>
          <w:tblInd w:w="0" w:type="dxa"/>
          <w:tblLook w:val="04A0"/>
        </w:tblPrEx>
        <w:tc>
          <w:tcPr>
            <w:tcW w:w="1923" w:type="dxa"/>
          </w:tcPr>
          <w:p w:rsidR="00BD7F3B" w:rsidP="00BD7F3B" w14:paraId="05EBF793" w14:textId="66A289BC">
            <w:pPr>
              <w:pStyle w:val="BodyText"/>
              <w:widowControl/>
              <w:autoSpaceDE/>
              <w:autoSpaceDN/>
              <w:spacing w:before="120" w:after="120"/>
              <w:rPr>
                <w:rFonts w:ascii="Arial" w:eastAsia="Arial" w:hAnsi="Arial" w:cs="Arial"/>
                <w:sz w:val="20"/>
                <w:szCs w:val="20"/>
                <w:lang w:val="en-US" w:eastAsia="en-US" w:bidi="ar-SA"/>
              </w:rPr>
            </w:pPr>
            <w:r>
              <w:rPr>
                <w:rFonts w:ascii="Arial" w:eastAsia="Arial" w:hAnsi="Arial" w:cs="Arial"/>
                <w:sz w:val="20"/>
                <w:szCs w:val="20"/>
                <w:lang w:val="en-US" w:eastAsia="en-US" w:bidi="ar-SA"/>
              </w:rPr>
              <w:t>February 12, 2025</w:t>
            </w:r>
          </w:p>
        </w:tc>
        <w:tc>
          <w:tcPr>
            <w:tcW w:w="1943" w:type="dxa"/>
          </w:tcPr>
          <w:p w:rsidR="00BD7F3B" w:rsidP="00BD7F3B" w14:paraId="488580BE" w14:textId="7C75DF04">
            <w:pPr>
              <w:pStyle w:val="BodyText"/>
              <w:widowControl/>
              <w:autoSpaceDE/>
              <w:autoSpaceDN/>
              <w:spacing w:before="120" w:after="120"/>
              <w:rPr>
                <w:rFonts w:ascii="Arial" w:eastAsia="Arial" w:hAnsi="Arial" w:cs="Arial"/>
                <w:sz w:val="20"/>
                <w:szCs w:val="20"/>
                <w:lang w:val="en-US" w:eastAsia="en-US" w:bidi="ar-SA"/>
              </w:rPr>
            </w:pPr>
            <w:r>
              <w:rPr>
                <w:rFonts w:ascii="Arial" w:eastAsia="Arial" w:hAnsi="Arial" w:cs="Arial"/>
                <w:sz w:val="20"/>
                <w:szCs w:val="20"/>
                <w:lang w:val="en-US" w:eastAsia="en-US" w:bidi="ar-SA"/>
              </w:rPr>
              <w:t>$839,999</w:t>
            </w:r>
          </w:p>
        </w:tc>
        <w:tc>
          <w:tcPr>
            <w:tcW w:w="1967" w:type="dxa"/>
          </w:tcPr>
          <w:p w:rsidR="00BD7F3B" w:rsidP="00BD7F3B" w14:paraId="44A8D7A8" w14:textId="20FA6865">
            <w:pPr>
              <w:pStyle w:val="BodyText"/>
              <w:widowControl/>
              <w:autoSpaceDE/>
              <w:autoSpaceDN/>
              <w:spacing w:before="120" w:after="120"/>
              <w:rPr>
                <w:rFonts w:ascii="Arial" w:eastAsia="Arial" w:hAnsi="Arial" w:cs="Arial"/>
                <w:sz w:val="20"/>
                <w:szCs w:val="20"/>
                <w:lang w:val="en-US" w:eastAsia="en-US" w:bidi="ar-SA"/>
              </w:rPr>
            </w:pPr>
            <w:r>
              <w:rPr>
                <w:rFonts w:ascii="Arial" w:eastAsia="Arial" w:hAnsi="Arial" w:cs="Arial"/>
                <w:sz w:val="20"/>
                <w:szCs w:val="20"/>
                <w:lang w:val="en-US" w:eastAsia="en-US" w:bidi="ar-SA"/>
              </w:rPr>
              <w:t>G</w:t>
            </w:r>
            <w:r w:rsidRPr="00BD7F3B">
              <w:rPr>
                <w:rFonts w:ascii="Arial" w:eastAsia="Arial" w:hAnsi="Arial" w:cs="Arial"/>
                <w:sz w:val="20"/>
                <w:szCs w:val="20"/>
                <w:lang w:val="en-US" w:eastAsia="en-US" w:bidi="ar-SA"/>
              </w:rPr>
              <w:t>eneral working capital purposes and to satisfy existing property commitments and payables</w:t>
            </w:r>
          </w:p>
        </w:tc>
        <w:tc>
          <w:tcPr>
            <w:tcW w:w="1830" w:type="dxa"/>
          </w:tcPr>
          <w:p w:rsidR="00BD7F3B" w:rsidRPr="00F87FBE" w:rsidP="00BD7F3B" w14:paraId="1C6631AF" w14:textId="36FA91E9">
            <w:pPr>
              <w:pStyle w:val="BodyText"/>
              <w:widowControl/>
              <w:autoSpaceDE/>
              <w:autoSpaceDN/>
              <w:spacing w:before="120" w:after="120"/>
              <w:rPr>
                <w:rFonts w:ascii="Arial" w:eastAsia="Arial" w:hAnsi="Arial" w:cs="Arial"/>
                <w:sz w:val="20"/>
                <w:szCs w:val="20"/>
                <w:lang w:val="en-US" w:eastAsia="en-US" w:bidi="ar-SA"/>
              </w:rPr>
            </w:pPr>
            <w:r w:rsidRPr="00F87FBE">
              <w:rPr>
                <w:rFonts w:ascii="Arial" w:eastAsia="Arial" w:hAnsi="Arial" w:cs="Arial"/>
                <w:sz w:val="20"/>
                <w:szCs w:val="20"/>
                <w:lang w:val="en-US" w:eastAsia="en-US" w:bidi="ar-SA"/>
              </w:rPr>
              <w:t>Nil</w:t>
            </w:r>
          </w:p>
        </w:tc>
        <w:tc>
          <w:tcPr>
            <w:tcW w:w="2227" w:type="dxa"/>
          </w:tcPr>
          <w:p w:rsidR="00BD7F3B" w:rsidRPr="00F87FBE" w:rsidP="00BD7F3B" w14:paraId="178CBE66" w14:textId="45BC55AF">
            <w:pPr>
              <w:pStyle w:val="BodyText"/>
              <w:widowControl/>
              <w:autoSpaceDE/>
              <w:autoSpaceDN/>
              <w:spacing w:before="120" w:after="120"/>
              <w:rPr>
                <w:rFonts w:ascii="Arial" w:eastAsia="Arial" w:hAnsi="Arial" w:cs="Arial"/>
                <w:sz w:val="20"/>
                <w:szCs w:val="20"/>
                <w:lang w:val="en-US" w:eastAsia="en-US" w:bidi="ar-SA"/>
              </w:rPr>
            </w:pPr>
            <w:r w:rsidRPr="00F87FBE">
              <w:rPr>
                <w:rFonts w:ascii="Arial" w:eastAsia="Arial" w:hAnsi="Arial" w:cs="Arial"/>
                <w:sz w:val="20"/>
                <w:szCs w:val="20"/>
                <w:lang w:val="en-US" w:eastAsia="en-US" w:bidi="ar-SA"/>
              </w:rPr>
              <w:t>N/A</w:t>
            </w:r>
          </w:p>
        </w:tc>
      </w:tr>
      <w:tr w14:paraId="2D1BFAA8" w14:textId="77777777" w:rsidTr="00417B96">
        <w:tblPrEx>
          <w:tblW w:w="0" w:type="auto"/>
          <w:tblInd w:w="0" w:type="dxa"/>
          <w:tblLook w:val="04A0"/>
        </w:tblPrEx>
        <w:tc>
          <w:tcPr>
            <w:tcW w:w="1923" w:type="dxa"/>
          </w:tcPr>
          <w:p w:rsidR="00BD7F3B" w:rsidP="00BD7F3B" w14:paraId="6C11ADCF" w14:textId="01D3DAC8">
            <w:pPr>
              <w:pStyle w:val="BodyText"/>
              <w:widowControl/>
              <w:autoSpaceDE/>
              <w:autoSpaceDN/>
              <w:spacing w:before="120" w:after="120"/>
              <w:rPr>
                <w:rFonts w:ascii="Arial" w:eastAsia="Arial" w:hAnsi="Arial" w:cs="Arial"/>
                <w:sz w:val="20"/>
                <w:szCs w:val="20"/>
                <w:lang w:val="en-US" w:eastAsia="en-US" w:bidi="ar-SA"/>
              </w:rPr>
            </w:pPr>
            <w:r>
              <w:rPr>
                <w:rFonts w:ascii="Arial" w:eastAsia="Arial" w:hAnsi="Arial" w:cs="Arial"/>
                <w:sz w:val="20"/>
                <w:szCs w:val="20"/>
                <w:lang w:val="en-US" w:eastAsia="en-US" w:bidi="ar-SA"/>
              </w:rPr>
              <w:t>April 9, 2025</w:t>
            </w:r>
          </w:p>
        </w:tc>
        <w:tc>
          <w:tcPr>
            <w:tcW w:w="1943" w:type="dxa"/>
          </w:tcPr>
          <w:p w:rsidR="00BD7F3B" w:rsidP="00BD7F3B" w14:paraId="7D45E033" w14:textId="23DCAA38">
            <w:pPr>
              <w:pStyle w:val="BodyText"/>
              <w:widowControl/>
              <w:autoSpaceDE/>
              <w:autoSpaceDN/>
              <w:spacing w:before="120" w:after="120"/>
              <w:rPr>
                <w:rFonts w:ascii="Arial" w:eastAsia="Arial" w:hAnsi="Arial" w:cs="Arial"/>
                <w:sz w:val="20"/>
                <w:szCs w:val="20"/>
                <w:lang w:val="en-US" w:eastAsia="en-US" w:bidi="ar-SA"/>
              </w:rPr>
            </w:pPr>
            <w:r>
              <w:rPr>
                <w:rFonts w:ascii="Arial" w:eastAsia="Arial" w:hAnsi="Arial" w:cs="Arial"/>
                <w:sz w:val="20"/>
                <w:szCs w:val="20"/>
                <w:lang w:val="en-US" w:eastAsia="en-US" w:bidi="ar-SA"/>
              </w:rPr>
              <w:t>$2,500,000</w:t>
            </w:r>
          </w:p>
        </w:tc>
        <w:tc>
          <w:tcPr>
            <w:tcW w:w="1967" w:type="dxa"/>
          </w:tcPr>
          <w:p w:rsidR="00BD7F3B" w:rsidP="00BD7F3B" w14:paraId="7CB6FAFC" w14:textId="08AEA362">
            <w:pPr>
              <w:pStyle w:val="BodyText"/>
              <w:widowControl/>
              <w:autoSpaceDE/>
              <w:autoSpaceDN/>
              <w:spacing w:before="120" w:after="120"/>
              <w:rPr>
                <w:rFonts w:ascii="Arial" w:eastAsia="Arial" w:hAnsi="Arial" w:cs="Arial"/>
                <w:sz w:val="20"/>
                <w:szCs w:val="20"/>
                <w:lang w:val="en-US" w:eastAsia="en-US" w:bidi="ar-SA"/>
              </w:rPr>
            </w:pPr>
            <w:r>
              <w:rPr>
                <w:rFonts w:ascii="Arial" w:eastAsia="Arial" w:hAnsi="Arial" w:cs="Arial"/>
                <w:sz w:val="20"/>
                <w:szCs w:val="20"/>
                <w:lang w:val="en-US" w:eastAsia="en-US" w:bidi="ar-SA"/>
              </w:rPr>
              <w:t>G</w:t>
            </w:r>
            <w:r w:rsidRPr="00BD7F3B">
              <w:rPr>
                <w:rFonts w:ascii="Arial" w:eastAsia="Arial" w:hAnsi="Arial" w:cs="Arial"/>
                <w:sz w:val="20"/>
                <w:szCs w:val="20"/>
                <w:lang w:val="en-US" w:eastAsia="en-US" w:bidi="ar-SA"/>
              </w:rPr>
              <w:t>eneral working capital purposes and to satisfy existing property commitments and payables</w:t>
            </w:r>
          </w:p>
        </w:tc>
        <w:tc>
          <w:tcPr>
            <w:tcW w:w="1830" w:type="dxa"/>
          </w:tcPr>
          <w:p w:rsidR="00BD7F3B" w:rsidRPr="00F87FBE" w:rsidP="00BD7F3B" w14:paraId="12C79C7F" w14:textId="7FA49532">
            <w:pPr>
              <w:pStyle w:val="BodyText"/>
              <w:widowControl/>
              <w:autoSpaceDE/>
              <w:autoSpaceDN/>
              <w:spacing w:before="120" w:after="120"/>
              <w:rPr>
                <w:rFonts w:ascii="Arial" w:eastAsia="Arial" w:hAnsi="Arial" w:cs="Arial"/>
                <w:sz w:val="20"/>
                <w:szCs w:val="20"/>
                <w:lang w:val="en-US" w:eastAsia="en-US" w:bidi="ar-SA"/>
              </w:rPr>
            </w:pPr>
            <w:r w:rsidRPr="00F87FBE">
              <w:rPr>
                <w:rFonts w:ascii="Arial" w:eastAsia="Arial" w:hAnsi="Arial" w:cs="Arial"/>
                <w:sz w:val="20"/>
                <w:szCs w:val="20"/>
                <w:lang w:val="en-US" w:eastAsia="en-US" w:bidi="ar-SA"/>
              </w:rPr>
              <w:t>Nil</w:t>
            </w:r>
          </w:p>
        </w:tc>
        <w:tc>
          <w:tcPr>
            <w:tcW w:w="2227" w:type="dxa"/>
          </w:tcPr>
          <w:p w:rsidR="00BD7F3B" w:rsidRPr="00F87FBE" w:rsidP="00BD7F3B" w14:paraId="0ECB6CDC" w14:textId="67FC9FD0">
            <w:pPr>
              <w:pStyle w:val="BodyText"/>
              <w:widowControl/>
              <w:autoSpaceDE/>
              <w:autoSpaceDN/>
              <w:spacing w:before="120" w:after="120"/>
              <w:rPr>
                <w:rFonts w:ascii="Arial" w:eastAsia="Arial" w:hAnsi="Arial" w:cs="Arial"/>
                <w:sz w:val="20"/>
                <w:szCs w:val="20"/>
                <w:lang w:val="en-US" w:eastAsia="en-US" w:bidi="ar-SA"/>
              </w:rPr>
            </w:pPr>
            <w:r w:rsidRPr="00F87FBE">
              <w:rPr>
                <w:rFonts w:ascii="Arial" w:eastAsia="Arial" w:hAnsi="Arial" w:cs="Arial"/>
                <w:sz w:val="20"/>
                <w:szCs w:val="20"/>
                <w:lang w:val="en-US" w:eastAsia="en-US" w:bidi="ar-SA"/>
              </w:rPr>
              <w:t>N/A</w:t>
            </w:r>
          </w:p>
        </w:tc>
      </w:tr>
    </w:tbl>
    <w:p w:rsidR="004D7A2D" w14:paraId="56CCE2D0" w14:textId="77777777">
      <w:pPr>
        <w:pStyle w:val="BodyText"/>
        <w:spacing w:before="9"/>
      </w:pPr>
    </w:p>
    <w:p w:rsidR="00BD7F3B" w14:paraId="2E79B49C" w14:textId="77777777">
      <w:pPr>
        <w:pStyle w:val="Heading1"/>
        <w:ind w:right="1505"/>
      </w:pPr>
    </w:p>
    <w:p w:rsidR="004D7A2D" w14:paraId="0D2625D9" w14:textId="3D04143D">
      <w:pPr>
        <w:pStyle w:val="Heading1"/>
        <w:ind w:right="1505"/>
      </w:pPr>
      <w:r>
        <w:t>FEES</w:t>
      </w:r>
      <w:r>
        <w:rPr>
          <w:spacing w:val="-6"/>
        </w:rPr>
        <w:t xml:space="preserve"> </w:t>
      </w:r>
      <w:r>
        <w:t>AND</w:t>
      </w:r>
      <w:r>
        <w:rPr>
          <w:spacing w:val="-3"/>
        </w:rPr>
        <w:t xml:space="preserve"> </w:t>
      </w:r>
      <w:r>
        <w:rPr>
          <w:spacing w:val="-2"/>
        </w:rPr>
        <w:t>COMMISSIONS</w:t>
      </w:r>
    </w:p>
    <w:p w:rsidR="004D7A2D" w14:paraId="0B86B8F9" w14:textId="77777777">
      <w:pPr>
        <w:pStyle w:val="BodyText"/>
        <w:spacing w:before="8"/>
        <w:rPr>
          <w:b/>
        </w:rPr>
      </w:pPr>
    </w:p>
    <w:p w:rsidR="004D7A2D" w:rsidP="000564FD" w14:paraId="4A72D257" w14:textId="77777777">
      <w:pPr>
        <w:ind w:left="180" w:right="209"/>
        <w:jc w:val="both"/>
        <w:rPr>
          <w:b/>
          <w:sz w:val="20"/>
        </w:rPr>
      </w:pPr>
      <w:r>
        <w:rPr>
          <w:b/>
          <w:sz w:val="20"/>
        </w:rPr>
        <w:t>Who</w:t>
      </w:r>
      <w:r>
        <w:rPr>
          <w:b/>
          <w:spacing w:val="-3"/>
          <w:sz w:val="20"/>
        </w:rPr>
        <w:t xml:space="preserve"> </w:t>
      </w:r>
      <w:r>
        <w:rPr>
          <w:b/>
          <w:sz w:val="20"/>
        </w:rPr>
        <w:t>are</w:t>
      </w:r>
      <w:r>
        <w:rPr>
          <w:b/>
          <w:spacing w:val="-4"/>
          <w:sz w:val="20"/>
        </w:rPr>
        <w:t xml:space="preserve"> </w:t>
      </w:r>
      <w:r>
        <w:rPr>
          <w:b/>
          <w:sz w:val="20"/>
        </w:rPr>
        <w:t>the</w:t>
      </w:r>
      <w:r>
        <w:rPr>
          <w:b/>
          <w:spacing w:val="-4"/>
          <w:sz w:val="20"/>
        </w:rPr>
        <w:t xml:space="preserve"> </w:t>
      </w:r>
      <w:r>
        <w:rPr>
          <w:b/>
          <w:sz w:val="20"/>
        </w:rPr>
        <w:t>dealers</w:t>
      </w:r>
      <w:r>
        <w:rPr>
          <w:b/>
          <w:spacing w:val="-4"/>
          <w:sz w:val="20"/>
        </w:rPr>
        <w:t xml:space="preserve"> </w:t>
      </w:r>
      <w:r>
        <w:rPr>
          <w:b/>
          <w:sz w:val="20"/>
        </w:rPr>
        <w:t>or</w:t>
      </w:r>
      <w:r>
        <w:rPr>
          <w:b/>
          <w:spacing w:val="-2"/>
          <w:sz w:val="20"/>
        </w:rPr>
        <w:t xml:space="preserve"> </w:t>
      </w:r>
      <w:r>
        <w:rPr>
          <w:b/>
          <w:sz w:val="20"/>
        </w:rPr>
        <w:t>finders</w:t>
      </w:r>
      <w:r>
        <w:rPr>
          <w:b/>
          <w:spacing w:val="-4"/>
          <w:sz w:val="20"/>
        </w:rPr>
        <w:t xml:space="preserve"> </w:t>
      </w:r>
      <w:r>
        <w:rPr>
          <w:b/>
          <w:sz w:val="20"/>
        </w:rPr>
        <w:t>that</w:t>
      </w:r>
      <w:r>
        <w:rPr>
          <w:b/>
          <w:spacing w:val="-4"/>
          <w:sz w:val="20"/>
        </w:rPr>
        <w:t xml:space="preserve"> </w:t>
      </w:r>
      <w:r>
        <w:rPr>
          <w:b/>
          <w:sz w:val="20"/>
        </w:rPr>
        <w:t>we</w:t>
      </w:r>
      <w:r>
        <w:rPr>
          <w:b/>
          <w:spacing w:val="-4"/>
          <w:sz w:val="20"/>
        </w:rPr>
        <w:t xml:space="preserve"> </w:t>
      </w:r>
      <w:r>
        <w:rPr>
          <w:b/>
          <w:sz w:val="20"/>
        </w:rPr>
        <w:t>have</w:t>
      </w:r>
      <w:r>
        <w:rPr>
          <w:b/>
          <w:spacing w:val="-2"/>
          <w:sz w:val="20"/>
        </w:rPr>
        <w:t xml:space="preserve"> </w:t>
      </w:r>
      <w:r>
        <w:rPr>
          <w:b/>
          <w:sz w:val="20"/>
        </w:rPr>
        <w:t>engaged</w:t>
      </w:r>
      <w:r>
        <w:rPr>
          <w:b/>
          <w:spacing w:val="-3"/>
          <w:sz w:val="20"/>
        </w:rPr>
        <w:t xml:space="preserve"> </w:t>
      </w:r>
      <w:r>
        <w:rPr>
          <w:b/>
          <w:sz w:val="20"/>
        </w:rPr>
        <w:t>in</w:t>
      </w:r>
      <w:r>
        <w:rPr>
          <w:b/>
          <w:spacing w:val="-4"/>
          <w:sz w:val="20"/>
        </w:rPr>
        <w:t xml:space="preserve"> </w:t>
      </w:r>
      <w:r>
        <w:rPr>
          <w:b/>
          <w:sz w:val="20"/>
        </w:rPr>
        <w:t>connection</w:t>
      </w:r>
      <w:r>
        <w:rPr>
          <w:b/>
          <w:spacing w:val="-3"/>
          <w:sz w:val="20"/>
        </w:rPr>
        <w:t xml:space="preserve"> </w:t>
      </w:r>
      <w:r>
        <w:rPr>
          <w:b/>
          <w:sz w:val="20"/>
        </w:rPr>
        <w:t>with</w:t>
      </w:r>
      <w:r>
        <w:rPr>
          <w:b/>
          <w:spacing w:val="-3"/>
          <w:sz w:val="20"/>
        </w:rPr>
        <w:t xml:space="preserve"> </w:t>
      </w:r>
      <w:r>
        <w:rPr>
          <w:b/>
          <w:sz w:val="20"/>
        </w:rPr>
        <w:t>this</w:t>
      </w:r>
      <w:r>
        <w:rPr>
          <w:b/>
          <w:spacing w:val="-2"/>
          <w:sz w:val="20"/>
        </w:rPr>
        <w:t xml:space="preserve"> </w:t>
      </w:r>
      <w:r>
        <w:rPr>
          <w:b/>
          <w:sz w:val="20"/>
        </w:rPr>
        <w:t>offering,</w:t>
      </w:r>
      <w:r>
        <w:rPr>
          <w:b/>
          <w:spacing w:val="-4"/>
          <w:sz w:val="20"/>
        </w:rPr>
        <w:t xml:space="preserve"> </w:t>
      </w:r>
      <w:r>
        <w:rPr>
          <w:b/>
          <w:sz w:val="20"/>
        </w:rPr>
        <w:t>if</w:t>
      </w:r>
      <w:r>
        <w:rPr>
          <w:b/>
          <w:spacing w:val="-4"/>
          <w:sz w:val="20"/>
        </w:rPr>
        <w:t xml:space="preserve"> </w:t>
      </w:r>
      <w:r>
        <w:rPr>
          <w:b/>
          <w:sz w:val="20"/>
        </w:rPr>
        <w:t>any,</w:t>
      </w:r>
      <w:r>
        <w:rPr>
          <w:b/>
          <w:spacing w:val="-2"/>
          <w:sz w:val="20"/>
        </w:rPr>
        <w:t xml:space="preserve"> </w:t>
      </w:r>
      <w:r>
        <w:rPr>
          <w:b/>
          <w:sz w:val="20"/>
        </w:rPr>
        <w:t>and what are their fees?</w:t>
      </w:r>
    </w:p>
    <w:p w:rsidR="004D7A2D" w14:paraId="31FC420D" w14:textId="77777777">
      <w:pPr>
        <w:pStyle w:val="BodyText"/>
        <w:rPr>
          <w:b/>
          <w:sz w:val="21"/>
        </w:rPr>
      </w:pPr>
    </w:p>
    <w:p w:rsidR="00BC4311" w:rsidP="00DA139B" w14:paraId="4CCFF5B5" w14:textId="770F085A">
      <w:pPr>
        <w:pStyle w:val="BodyText"/>
      </w:pPr>
      <w:r>
        <w:t xml:space="preserve">The Company has not engaged any agent, underwriter, dealer or finder in connection with the Offering. </w:t>
      </w:r>
    </w:p>
    <w:p w:rsidR="00DE0922" w:rsidRPr="00DA139B" w:rsidP="00DA139B" w14:paraId="66835CF5" w14:textId="77777777">
      <w:pPr>
        <w:pStyle w:val="BodyText"/>
      </w:pPr>
    </w:p>
    <w:p w:rsidR="004D7A2D" w14:paraId="70879ED0" w14:textId="77777777">
      <w:pPr>
        <w:pStyle w:val="Heading1"/>
        <w:ind w:left="1284"/>
      </w:pPr>
      <w:r>
        <w:rPr>
          <w:spacing w:val="-2"/>
        </w:rPr>
        <w:t>PURCHASERS’</w:t>
      </w:r>
      <w:r>
        <w:rPr>
          <w:spacing w:val="6"/>
        </w:rPr>
        <w:t xml:space="preserve"> </w:t>
      </w:r>
      <w:r>
        <w:rPr>
          <w:spacing w:val="-2"/>
        </w:rPr>
        <w:t>RIGHTS</w:t>
      </w:r>
    </w:p>
    <w:p w:rsidR="004D7A2D" w14:paraId="1DE482DB" w14:textId="77777777">
      <w:pPr>
        <w:pStyle w:val="BodyText"/>
        <w:spacing w:before="10"/>
        <w:rPr>
          <w:b/>
        </w:rPr>
      </w:pPr>
    </w:p>
    <w:p w:rsidR="004D7A2D" w14:paraId="627CD79C" w14:textId="77777777">
      <w:pPr>
        <w:ind w:left="180"/>
        <w:rPr>
          <w:b/>
          <w:sz w:val="20"/>
        </w:rPr>
      </w:pPr>
      <w:r>
        <w:rPr>
          <w:b/>
          <w:sz w:val="20"/>
        </w:rPr>
        <w:t>Rights</w:t>
      </w:r>
      <w:r>
        <w:rPr>
          <w:b/>
          <w:spacing w:val="-7"/>
          <w:sz w:val="20"/>
        </w:rPr>
        <w:t xml:space="preserve"> </w:t>
      </w:r>
      <w:r>
        <w:rPr>
          <w:b/>
          <w:sz w:val="20"/>
        </w:rPr>
        <w:t>of</w:t>
      </w:r>
      <w:r>
        <w:rPr>
          <w:b/>
          <w:spacing w:val="-4"/>
          <w:sz w:val="20"/>
        </w:rPr>
        <w:t xml:space="preserve"> </w:t>
      </w:r>
      <w:r>
        <w:rPr>
          <w:b/>
          <w:sz w:val="20"/>
        </w:rPr>
        <w:t>Action</w:t>
      </w:r>
      <w:r>
        <w:rPr>
          <w:b/>
          <w:spacing w:val="-5"/>
          <w:sz w:val="20"/>
        </w:rPr>
        <w:t xml:space="preserve"> </w:t>
      </w:r>
      <w:r>
        <w:rPr>
          <w:b/>
          <w:sz w:val="20"/>
        </w:rPr>
        <w:t>in</w:t>
      </w:r>
      <w:r>
        <w:rPr>
          <w:b/>
          <w:spacing w:val="-9"/>
          <w:sz w:val="20"/>
        </w:rPr>
        <w:t xml:space="preserve"> </w:t>
      </w:r>
      <w:r>
        <w:rPr>
          <w:b/>
          <w:sz w:val="20"/>
        </w:rPr>
        <w:t>the</w:t>
      </w:r>
      <w:r>
        <w:rPr>
          <w:b/>
          <w:spacing w:val="-7"/>
          <w:sz w:val="20"/>
        </w:rPr>
        <w:t xml:space="preserve"> </w:t>
      </w:r>
      <w:r>
        <w:rPr>
          <w:b/>
          <w:sz w:val="20"/>
        </w:rPr>
        <w:t>Event</w:t>
      </w:r>
      <w:r>
        <w:rPr>
          <w:b/>
          <w:spacing w:val="-3"/>
          <w:sz w:val="20"/>
        </w:rPr>
        <w:t xml:space="preserve"> </w:t>
      </w:r>
      <w:r>
        <w:rPr>
          <w:b/>
          <w:sz w:val="20"/>
        </w:rPr>
        <w:t>of</w:t>
      </w:r>
      <w:r>
        <w:rPr>
          <w:b/>
          <w:spacing w:val="-4"/>
          <w:sz w:val="20"/>
        </w:rPr>
        <w:t xml:space="preserve"> </w:t>
      </w:r>
      <w:r>
        <w:rPr>
          <w:b/>
          <w:sz w:val="20"/>
        </w:rPr>
        <w:t>a</w:t>
      </w:r>
      <w:r>
        <w:rPr>
          <w:b/>
          <w:spacing w:val="-7"/>
          <w:sz w:val="20"/>
        </w:rPr>
        <w:t xml:space="preserve"> </w:t>
      </w:r>
      <w:r>
        <w:rPr>
          <w:b/>
          <w:spacing w:val="-2"/>
          <w:sz w:val="20"/>
        </w:rPr>
        <w:t>Misrepresentation</w:t>
      </w:r>
    </w:p>
    <w:p w:rsidR="004D7A2D" w14:paraId="6A686385" w14:textId="77777777">
      <w:pPr>
        <w:pStyle w:val="BodyText"/>
        <w:spacing w:before="11"/>
        <w:rPr>
          <w:b/>
        </w:rPr>
      </w:pPr>
    </w:p>
    <w:p w:rsidR="004D7A2D" w:rsidP="00A277ED" w14:paraId="74BCD513" w14:textId="18CE094E">
      <w:pPr>
        <w:ind w:left="180"/>
        <w:rPr>
          <w:b/>
          <w:spacing w:val="-2"/>
          <w:sz w:val="20"/>
        </w:rPr>
      </w:pPr>
      <w:r>
        <w:rPr>
          <w:b/>
          <w:sz w:val="20"/>
        </w:rPr>
        <w:t>If</w:t>
      </w:r>
      <w:r>
        <w:rPr>
          <w:b/>
          <w:spacing w:val="-12"/>
          <w:sz w:val="20"/>
        </w:rPr>
        <w:t xml:space="preserve"> </w:t>
      </w:r>
      <w:r>
        <w:rPr>
          <w:b/>
          <w:sz w:val="20"/>
        </w:rPr>
        <w:t>there</w:t>
      </w:r>
      <w:r>
        <w:rPr>
          <w:b/>
          <w:spacing w:val="-12"/>
          <w:sz w:val="20"/>
        </w:rPr>
        <w:t xml:space="preserve"> </w:t>
      </w:r>
      <w:r>
        <w:rPr>
          <w:b/>
          <w:sz w:val="20"/>
        </w:rPr>
        <w:t>is</w:t>
      </w:r>
      <w:r>
        <w:rPr>
          <w:b/>
          <w:spacing w:val="-10"/>
          <w:sz w:val="20"/>
        </w:rPr>
        <w:t xml:space="preserve"> </w:t>
      </w:r>
      <w:r>
        <w:rPr>
          <w:b/>
          <w:sz w:val="20"/>
        </w:rPr>
        <w:t>a</w:t>
      </w:r>
      <w:r>
        <w:rPr>
          <w:b/>
          <w:spacing w:val="-12"/>
          <w:sz w:val="20"/>
        </w:rPr>
        <w:t xml:space="preserve"> </w:t>
      </w:r>
      <w:r>
        <w:rPr>
          <w:b/>
          <w:sz w:val="20"/>
        </w:rPr>
        <w:t>misrepresentation</w:t>
      </w:r>
      <w:r>
        <w:rPr>
          <w:b/>
          <w:spacing w:val="-12"/>
          <w:sz w:val="20"/>
        </w:rPr>
        <w:t xml:space="preserve"> </w:t>
      </w:r>
      <w:r>
        <w:rPr>
          <w:b/>
          <w:sz w:val="20"/>
        </w:rPr>
        <w:t>in</w:t>
      </w:r>
      <w:r>
        <w:rPr>
          <w:b/>
          <w:spacing w:val="-11"/>
          <w:sz w:val="20"/>
        </w:rPr>
        <w:t xml:space="preserve"> </w:t>
      </w:r>
      <w:r>
        <w:rPr>
          <w:b/>
          <w:sz w:val="20"/>
        </w:rPr>
        <w:t>this</w:t>
      </w:r>
      <w:r>
        <w:rPr>
          <w:b/>
          <w:spacing w:val="-9"/>
          <w:sz w:val="20"/>
        </w:rPr>
        <w:t xml:space="preserve"> </w:t>
      </w:r>
      <w:r>
        <w:rPr>
          <w:b/>
          <w:sz w:val="20"/>
        </w:rPr>
        <w:t>Offering</w:t>
      </w:r>
      <w:r>
        <w:rPr>
          <w:b/>
          <w:spacing w:val="-8"/>
          <w:sz w:val="20"/>
        </w:rPr>
        <w:t xml:space="preserve"> </w:t>
      </w:r>
      <w:r>
        <w:rPr>
          <w:b/>
          <w:sz w:val="20"/>
        </w:rPr>
        <w:t>Document,</w:t>
      </w:r>
      <w:r>
        <w:rPr>
          <w:b/>
          <w:spacing w:val="-9"/>
          <w:sz w:val="20"/>
        </w:rPr>
        <w:t xml:space="preserve"> </w:t>
      </w:r>
      <w:r>
        <w:rPr>
          <w:b/>
          <w:sz w:val="20"/>
        </w:rPr>
        <w:t>you</w:t>
      </w:r>
      <w:r>
        <w:rPr>
          <w:b/>
          <w:spacing w:val="-10"/>
          <w:sz w:val="20"/>
        </w:rPr>
        <w:t xml:space="preserve"> </w:t>
      </w:r>
      <w:r>
        <w:rPr>
          <w:b/>
          <w:sz w:val="20"/>
        </w:rPr>
        <w:t>have</w:t>
      </w:r>
      <w:r>
        <w:rPr>
          <w:b/>
          <w:spacing w:val="-10"/>
          <w:sz w:val="20"/>
        </w:rPr>
        <w:t xml:space="preserve"> </w:t>
      </w:r>
      <w:r>
        <w:rPr>
          <w:b/>
          <w:sz w:val="20"/>
        </w:rPr>
        <w:t>a</w:t>
      </w:r>
      <w:r>
        <w:rPr>
          <w:b/>
          <w:spacing w:val="-7"/>
          <w:sz w:val="20"/>
        </w:rPr>
        <w:t xml:space="preserve"> </w:t>
      </w:r>
      <w:r>
        <w:rPr>
          <w:b/>
          <w:spacing w:val="-2"/>
          <w:sz w:val="20"/>
        </w:rPr>
        <w:t>right</w:t>
      </w:r>
    </w:p>
    <w:p w:rsidR="00A277ED" w:rsidRPr="00A277ED" w:rsidP="00A277ED" w14:paraId="611DEE79" w14:textId="77777777">
      <w:pPr>
        <w:ind w:left="180"/>
        <w:rPr>
          <w:b/>
          <w:sz w:val="20"/>
        </w:rPr>
      </w:pPr>
    </w:p>
    <w:p w:rsidR="004D7A2D" w:rsidP="00632540" w14:paraId="0B4725A7" w14:textId="77777777">
      <w:pPr>
        <w:pStyle w:val="ListParagraph"/>
        <w:numPr>
          <w:ilvl w:val="2"/>
          <w:numId w:val="4"/>
        </w:numPr>
        <w:tabs>
          <w:tab w:val="left" w:pos="888"/>
        </w:tabs>
        <w:ind w:hanging="361"/>
        <w:rPr>
          <w:b/>
          <w:sz w:val="20"/>
        </w:rPr>
      </w:pPr>
      <w:r>
        <w:rPr>
          <w:b/>
          <w:sz w:val="20"/>
        </w:rPr>
        <w:t>to</w:t>
      </w:r>
      <w:r>
        <w:rPr>
          <w:b/>
          <w:spacing w:val="-10"/>
          <w:sz w:val="20"/>
        </w:rPr>
        <w:t xml:space="preserve"> </w:t>
      </w:r>
      <w:r>
        <w:rPr>
          <w:b/>
          <w:sz w:val="20"/>
        </w:rPr>
        <w:t>rescind</w:t>
      </w:r>
      <w:r>
        <w:rPr>
          <w:b/>
          <w:spacing w:val="-9"/>
          <w:sz w:val="20"/>
        </w:rPr>
        <w:t xml:space="preserve"> </w:t>
      </w:r>
      <w:r>
        <w:rPr>
          <w:b/>
          <w:sz w:val="20"/>
        </w:rPr>
        <w:t>your</w:t>
      </w:r>
      <w:r>
        <w:rPr>
          <w:b/>
          <w:spacing w:val="-10"/>
          <w:sz w:val="20"/>
        </w:rPr>
        <w:t xml:space="preserve"> </w:t>
      </w:r>
      <w:r>
        <w:rPr>
          <w:b/>
          <w:sz w:val="20"/>
        </w:rPr>
        <w:t>purchase</w:t>
      </w:r>
      <w:r>
        <w:rPr>
          <w:b/>
          <w:spacing w:val="-9"/>
          <w:sz w:val="20"/>
        </w:rPr>
        <w:t xml:space="preserve"> </w:t>
      </w:r>
      <w:r>
        <w:rPr>
          <w:b/>
          <w:sz w:val="20"/>
        </w:rPr>
        <w:t>of</w:t>
      </w:r>
      <w:r>
        <w:rPr>
          <w:b/>
          <w:spacing w:val="-7"/>
          <w:sz w:val="20"/>
        </w:rPr>
        <w:t xml:space="preserve"> </w:t>
      </w:r>
      <w:r>
        <w:rPr>
          <w:b/>
          <w:sz w:val="20"/>
        </w:rPr>
        <w:t>these</w:t>
      </w:r>
      <w:r>
        <w:rPr>
          <w:b/>
          <w:spacing w:val="-12"/>
          <w:sz w:val="20"/>
        </w:rPr>
        <w:t xml:space="preserve"> </w:t>
      </w:r>
      <w:r>
        <w:rPr>
          <w:b/>
          <w:sz w:val="20"/>
        </w:rPr>
        <w:t>securities</w:t>
      </w:r>
      <w:r>
        <w:rPr>
          <w:b/>
          <w:spacing w:val="-12"/>
          <w:sz w:val="20"/>
        </w:rPr>
        <w:t xml:space="preserve"> </w:t>
      </w:r>
      <w:r>
        <w:rPr>
          <w:b/>
          <w:sz w:val="20"/>
        </w:rPr>
        <w:t>with</w:t>
      </w:r>
      <w:r>
        <w:rPr>
          <w:b/>
          <w:spacing w:val="-9"/>
          <w:sz w:val="20"/>
        </w:rPr>
        <w:t xml:space="preserve"> </w:t>
      </w:r>
      <w:r>
        <w:rPr>
          <w:b/>
          <w:sz w:val="20"/>
        </w:rPr>
        <w:t>the</w:t>
      </w:r>
      <w:r>
        <w:rPr>
          <w:b/>
          <w:spacing w:val="-8"/>
          <w:sz w:val="20"/>
        </w:rPr>
        <w:t xml:space="preserve"> </w:t>
      </w:r>
      <w:r>
        <w:rPr>
          <w:b/>
          <w:sz w:val="20"/>
        </w:rPr>
        <w:t>Company,</w:t>
      </w:r>
      <w:r>
        <w:rPr>
          <w:b/>
          <w:spacing w:val="-6"/>
          <w:sz w:val="20"/>
        </w:rPr>
        <w:t xml:space="preserve"> </w:t>
      </w:r>
      <w:r>
        <w:rPr>
          <w:b/>
          <w:spacing w:val="-5"/>
          <w:sz w:val="20"/>
        </w:rPr>
        <w:t>or</w:t>
      </w:r>
    </w:p>
    <w:p w:rsidR="004D7A2D" w14:paraId="437C32C9" w14:textId="77777777">
      <w:pPr>
        <w:pStyle w:val="BodyText"/>
        <w:spacing w:before="10"/>
        <w:rPr>
          <w:b/>
        </w:rPr>
      </w:pPr>
    </w:p>
    <w:p w:rsidR="004D7A2D" w:rsidP="00632540" w14:paraId="4535F001" w14:textId="6CF682D3">
      <w:pPr>
        <w:pStyle w:val="ListParagraph"/>
        <w:numPr>
          <w:ilvl w:val="2"/>
          <w:numId w:val="4"/>
        </w:numPr>
        <w:tabs>
          <w:tab w:val="left" w:pos="888"/>
        </w:tabs>
        <w:spacing w:before="1"/>
        <w:ind w:right="401"/>
        <w:rPr>
          <w:b/>
          <w:sz w:val="20"/>
        </w:rPr>
      </w:pPr>
      <w:r>
        <w:rPr>
          <w:b/>
          <w:sz w:val="20"/>
        </w:rPr>
        <w:t>to</w:t>
      </w:r>
      <w:r>
        <w:rPr>
          <w:b/>
          <w:spacing w:val="-4"/>
          <w:sz w:val="20"/>
        </w:rPr>
        <w:t xml:space="preserve"> </w:t>
      </w:r>
      <w:r>
        <w:rPr>
          <w:b/>
          <w:sz w:val="20"/>
        </w:rPr>
        <w:t>damages</w:t>
      </w:r>
      <w:r>
        <w:rPr>
          <w:b/>
          <w:spacing w:val="-6"/>
          <w:sz w:val="20"/>
        </w:rPr>
        <w:t xml:space="preserve"> </w:t>
      </w:r>
      <w:r>
        <w:rPr>
          <w:b/>
          <w:sz w:val="20"/>
        </w:rPr>
        <w:t>against</w:t>
      </w:r>
      <w:r>
        <w:rPr>
          <w:b/>
          <w:spacing w:val="-6"/>
          <w:sz w:val="20"/>
        </w:rPr>
        <w:t xml:space="preserve"> </w:t>
      </w:r>
      <w:r>
        <w:rPr>
          <w:b/>
          <w:sz w:val="20"/>
        </w:rPr>
        <w:t>the</w:t>
      </w:r>
      <w:r>
        <w:rPr>
          <w:b/>
          <w:spacing w:val="-5"/>
          <w:sz w:val="20"/>
        </w:rPr>
        <w:t xml:space="preserve"> </w:t>
      </w:r>
      <w:r>
        <w:rPr>
          <w:b/>
          <w:sz w:val="20"/>
        </w:rPr>
        <w:t>Company</w:t>
      </w:r>
      <w:r>
        <w:rPr>
          <w:b/>
          <w:spacing w:val="-3"/>
          <w:sz w:val="20"/>
        </w:rPr>
        <w:t xml:space="preserve"> </w:t>
      </w:r>
      <w:r>
        <w:rPr>
          <w:b/>
          <w:sz w:val="20"/>
        </w:rPr>
        <w:t>and</w:t>
      </w:r>
      <w:r>
        <w:rPr>
          <w:b/>
          <w:spacing w:val="-8"/>
          <w:sz w:val="20"/>
        </w:rPr>
        <w:t xml:space="preserve"> </w:t>
      </w:r>
      <w:r>
        <w:rPr>
          <w:b/>
          <w:sz w:val="20"/>
        </w:rPr>
        <w:t>may,</w:t>
      </w:r>
      <w:r>
        <w:rPr>
          <w:b/>
          <w:spacing w:val="-5"/>
          <w:sz w:val="20"/>
        </w:rPr>
        <w:t xml:space="preserve"> </w:t>
      </w:r>
      <w:r>
        <w:rPr>
          <w:b/>
          <w:sz w:val="20"/>
        </w:rPr>
        <w:t>in</w:t>
      </w:r>
      <w:r>
        <w:rPr>
          <w:b/>
          <w:spacing w:val="-2"/>
          <w:sz w:val="20"/>
        </w:rPr>
        <w:t xml:space="preserve"> </w:t>
      </w:r>
      <w:r>
        <w:rPr>
          <w:b/>
          <w:sz w:val="20"/>
        </w:rPr>
        <w:t>certain</w:t>
      </w:r>
      <w:r>
        <w:rPr>
          <w:b/>
          <w:spacing w:val="-5"/>
          <w:sz w:val="20"/>
        </w:rPr>
        <w:t xml:space="preserve"> </w:t>
      </w:r>
      <w:r>
        <w:rPr>
          <w:b/>
          <w:sz w:val="20"/>
        </w:rPr>
        <w:t>jurisdictions,</w:t>
      </w:r>
      <w:r>
        <w:rPr>
          <w:b/>
          <w:spacing w:val="-5"/>
          <w:sz w:val="20"/>
        </w:rPr>
        <w:t xml:space="preserve"> </w:t>
      </w:r>
      <w:r>
        <w:rPr>
          <w:b/>
          <w:sz w:val="20"/>
        </w:rPr>
        <w:t>have</w:t>
      </w:r>
      <w:r>
        <w:rPr>
          <w:b/>
          <w:spacing w:val="-5"/>
          <w:sz w:val="20"/>
        </w:rPr>
        <w:t xml:space="preserve"> </w:t>
      </w:r>
      <w:r>
        <w:rPr>
          <w:b/>
          <w:sz w:val="20"/>
        </w:rPr>
        <w:t>a</w:t>
      </w:r>
      <w:r>
        <w:rPr>
          <w:b/>
          <w:spacing w:val="-3"/>
          <w:sz w:val="20"/>
        </w:rPr>
        <w:t xml:space="preserve"> </w:t>
      </w:r>
      <w:r>
        <w:rPr>
          <w:b/>
          <w:sz w:val="20"/>
        </w:rPr>
        <w:t>statutory</w:t>
      </w:r>
      <w:r>
        <w:rPr>
          <w:b/>
          <w:spacing w:val="-5"/>
          <w:sz w:val="20"/>
        </w:rPr>
        <w:t xml:space="preserve"> </w:t>
      </w:r>
      <w:r>
        <w:rPr>
          <w:b/>
          <w:sz w:val="20"/>
        </w:rPr>
        <w:t>right to damages from other persons.</w:t>
      </w:r>
    </w:p>
    <w:p w:rsidR="00A277ED" w:rsidRPr="00A277ED" w:rsidP="00A277ED" w14:paraId="1F078D3A" w14:textId="77777777">
      <w:pPr>
        <w:tabs>
          <w:tab w:val="left" w:pos="888"/>
        </w:tabs>
        <w:spacing w:before="1"/>
        <w:ind w:right="401"/>
        <w:rPr>
          <w:b/>
          <w:sz w:val="20"/>
        </w:rPr>
      </w:pPr>
    </w:p>
    <w:p w:rsidR="004D7A2D" w:rsidP="00A277ED" w14:paraId="41453A8B" w14:textId="77777777">
      <w:pPr>
        <w:ind w:left="104" w:right="240"/>
        <w:jc w:val="both"/>
        <w:rPr>
          <w:b/>
          <w:sz w:val="20"/>
        </w:rPr>
      </w:pPr>
      <w:r>
        <w:rPr>
          <w:b/>
          <w:sz w:val="20"/>
        </w:rPr>
        <w:t>These rights are available to you whether or not you relied on the misrepresentation.</w:t>
      </w:r>
      <w:r>
        <w:rPr>
          <w:b/>
          <w:spacing w:val="40"/>
          <w:sz w:val="20"/>
        </w:rPr>
        <w:t xml:space="preserve"> </w:t>
      </w:r>
      <w:r>
        <w:rPr>
          <w:b/>
          <w:sz w:val="20"/>
        </w:rPr>
        <w:t>However, there</w:t>
      </w:r>
      <w:r>
        <w:rPr>
          <w:b/>
          <w:spacing w:val="-6"/>
          <w:sz w:val="20"/>
        </w:rPr>
        <w:t xml:space="preserve"> </w:t>
      </w:r>
      <w:r>
        <w:rPr>
          <w:b/>
          <w:sz w:val="20"/>
        </w:rPr>
        <w:t>are</w:t>
      </w:r>
      <w:r>
        <w:rPr>
          <w:b/>
          <w:spacing w:val="-7"/>
          <w:sz w:val="20"/>
        </w:rPr>
        <w:t xml:space="preserve"> </w:t>
      </w:r>
      <w:r>
        <w:rPr>
          <w:b/>
          <w:sz w:val="20"/>
        </w:rPr>
        <w:t>various</w:t>
      </w:r>
      <w:r>
        <w:rPr>
          <w:b/>
          <w:spacing w:val="-4"/>
          <w:sz w:val="20"/>
        </w:rPr>
        <w:t xml:space="preserve"> </w:t>
      </w:r>
      <w:r>
        <w:rPr>
          <w:b/>
          <w:sz w:val="20"/>
        </w:rPr>
        <w:t>circumstances</w:t>
      </w:r>
      <w:r>
        <w:rPr>
          <w:b/>
          <w:spacing w:val="-5"/>
          <w:sz w:val="20"/>
        </w:rPr>
        <w:t xml:space="preserve"> </w:t>
      </w:r>
      <w:r>
        <w:rPr>
          <w:b/>
          <w:sz w:val="20"/>
        </w:rPr>
        <w:t>that</w:t>
      </w:r>
      <w:r>
        <w:rPr>
          <w:b/>
          <w:spacing w:val="-3"/>
          <w:sz w:val="20"/>
        </w:rPr>
        <w:t xml:space="preserve"> </w:t>
      </w:r>
      <w:r>
        <w:rPr>
          <w:b/>
          <w:sz w:val="20"/>
        </w:rPr>
        <w:t>limit</w:t>
      </w:r>
      <w:r>
        <w:rPr>
          <w:b/>
          <w:spacing w:val="-3"/>
          <w:sz w:val="20"/>
        </w:rPr>
        <w:t xml:space="preserve"> </w:t>
      </w:r>
      <w:r>
        <w:rPr>
          <w:b/>
          <w:sz w:val="20"/>
        </w:rPr>
        <w:t>your</w:t>
      </w:r>
      <w:r>
        <w:rPr>
          <w:b/>
          <w:spacing w:val="-9"/>
          <w:sz w:val="20"/>
        </w:rPr>
        <w:t xml:space="preserve"> </w:t>
      </w:r>
      <w:r>
        <w:rPr>
          <w:b/>
          <w:sz w:val="20"/>
        </w:rPr>
        <w:t>rights.</w:t>
      </w:r>
      <w:r>
        <w:rPr>
          <w:b/>
          <w:spacing w:val="40"/>
          <w:sz w:val="20"/>
        </w:rPr>
        <w:t xml:space="preserve"> </w:t>
      </w:r>
      <w:r>
        <w:rPr>
          <w:b/>
          <w:sz w:val="20"/>
        </w:rPr>
        <w:t>In</w:t>
      </w:r>
      <w:r>
        <w:rPr>
          <w:b/>
          <w:spacing w:val="-6"/>
          <w:sz w:val="20"/>
        </w:rPr>
        <w:t xml:space="preserve"> </w:t>
      </w:r>
      <w:r>
        <w:rPr>
          <w:b/>
          <w:sz w:val="20"/>
        </w:rPr>
        <w:t>particular,</w:t>
      </w:r>
      <w:r>
        <w:rPr>
          <w:b/>
          <w:spacing w:val="-8"/>
          <w:sz w:val="20"/>
        </w:rPr>
        <w:t xml:space="preserve"> </w:t>
      </w:r>
      <w:r>
        <w:rPr>
          <w:b/>
          <w:sz w:val="20"/>
        </w:rPr>
        <w:t>your</w:t>
      </w:r>
      <w:r>
        <w:rPr>
          <w:b/>
          <w:spacing w:val="-4"/>
          <w:sz w:val="20"/>
        </w:rPr>
        <w:t xml:space="preserve"> </w:t>
      </w:r>
      <w:r>
        <w:rPr>
          <w:b/>
          <w:sz w:val="20"/>
        </w:rPr>
        <w:t>rights</w:t>
      </w:r>
      <w:r>
        <w:rPr>
          <w:b/>
          <w:spacing w:val="-9"/>
          <w:sz w:val="20"/>
        </w:rPr>
        <w:t xml:space="preserve"> </w:t>
      </w:r>
      <w:r>
        <w:rPr>
          <w:b/>
          <w:sz w:val="20"/>
        </w:rPr>
        <w:t>might</w:t>
      </w:r>
      <w:r>
        <w:rPr>
          <w:b/>
          <w:spacing w:val="-3"/>
          <w:sz w:val="20"/>
        </w:rPr>
        <w:t xml:space="preserve"> </w:t>
      </w:r>
      <w:r>
        <w:rPr>
          <w:b/>
          <w:sz w:val="20"/>
        </w:rPr>
        <w:t>be</w:t>
      </w:r>
      <w:r>
        <w:rPr>
          <w:b/>
          <w:spacing w:val="-8"/>
          <w:sz w:val="20"/>
        </w:rPr>
        <w:t xml:space="preserve"> </w:t>
      </w:r>
      <w:r>
        <w:rPr>
          <w:b/>
          <w:sz w:val="20"/>
        </w:rPr>
        <w:t>limited</w:t>
      </w:r>
      <w:r>
        <w:rPr>
          <w:b/>
          <w:spacing w:val="-8"/>
          <w:sz w:val="20"/>
        </w:rPr>
        <w:t xml:space="preserve"> </w:t>
      </w:r>
      <w:r>
        <w:rPr>
          <w:b/>
          <w:sz w:val="20"/>
        </w:rPr>
        <w:t>if you knew of the misrepresentation when you purchased the securities.</w:t>
      </w:r>
    </w:p>
    <w:p w:rsidR="004D7A2D" w:rsidP="00A277ED" w14:paraId="17E3BAB8" w14:textId="77777777">
      <w:pPr>
        <w:pStyle w:val="BodyText"/>
        <w:spacing w:before="11"/>
        <w:jc w:val="both"/>
        <w:rPr>
          <w:b/>
        </w:rPr>
      </w:pPr>
    </w:p>
    <w:p w:rsidR="004D7A2D" w:rsidP="006779DF" w14:paraId="167EDE9E" w14:textId="77777777">
      <w:pPr>
        <w:keepLines/>
        <w:ind w:left="104" w:right="240"/>
        <w:jc w:val="both"/>
        <w:rPr>
          <w:b/>
          <w:sz w:val="20"/>
        </w:rPr>
      </w:pPr>
      <w:r>
        <w:rPr>
          <w:b/>
          <w:sz w:val="20"/>
        </w:rPr>
        <w:t>If</w:t>
      </w:r>
      <w:r>
        <w:rPr>
          <w:b/>
          <w:spacing w:val="-3"/>
          <w:sz w:val="20"/>
        </w:rPr>
        <w:t xml:space="preserve"> </w:t>
      </w:r>
      <w:r>
        <w:rPr>
          <w:b/>
          <w:sz w:val="20"/>
        </w:rPr>
        <w:t>you</w:t>
      </w:r>
      <w:r>
        <w:rPr>
          <w:b/>
          <w:spacing w:val="-8"/>
          <w:sz w:val="20"/>
        </w:rPr>
        <w:t xml:space="preserve"> </w:t>
      </w:r>
      <w:r>
        <w:rPr>
          <w:b/>
          <w:sz w:val="20"/>
        </w:rPr>
        <w:t>intend</w:t>
      </w:r>
      <w:r>
        <w:rPr>
          <w:b/>
          <w:spacing w:val="-5"/>
          <w:sz w:val="20"/>
        </w:rPr>
        <w:t xml:space="preserve"> </w:t>
      </w:r>
      <w:r>
        <w:rPr>
          <w:b/>
          <w:sz w:val="20"/>
        </w:rPr>
        <w:t>to</w:t>
      </w:r>
      <w:r>
        <w:rPr>
          <w:b/>
          <w:spacing w:val="-6"/>
          <w:sz w:val="20"/>
        </w:rPr>
        <w:t xml:space="preserve"> </w:t>
      </w:r>
      <w:r>
        <w:rPr>
          <w:b/>
          <w:sz w:val="20"/>
        </w:rPr>
        <w:t>rely</w:t>
      </w:r>
      <w:r>
        <w:rPr>
          <w:b/>
          <w:spacing w:val="-5"/>
          <w:sz w:val="20"/>
        </w:rPr>
        <w:t xml:space="preserve"> </w:t>
      </w:r>
      <w:r>
        <w:rPr>
          <w:b/>
          <w:sz w:val="20"/>
        </w:rPr>
        <w:t>on</w:t>
      </w:r>
      <w:r>
        <w:rPr>
          <w:b/>
          <w:spacing w:val="-8"/>
          <w:sz w:val="20"/>
        </w:rPr>
        <w:t xml:space="preserve"> </w:t>
      </w:r>
      <w:r>
        <w:rPr>
          <w:b/>
          <w:sz w:val="20"/>
        </w:rPr>
        <w:t>the</w:t>
      </w:r>
      <w:r>
        <w:rPr>
          <w:b/>
          <w:spacing w:val="-4"/>
          <w:sz w:val="20"/>
        </w:rPr>
        <w:t xml:space="preserve"> </w:t>
      </w:r>
      <w:r>
        <w:rPr>
          <w:b/>
          <w:sz w:val="20"/>
        </w:rPr>
        <w:t>rights</w:t>
      </w:r>
      <w:r>
        <w:rPr>
          <w:b/>
          <w:spacing w:val="-3"/>
          <w:sz w:val="20"/>
        </w:rPr>
        <w:t xml:space="preserve"> </w:t>
      </w:r>
      <w:r>
        <w:rPr>
          <w:b/>
          <w:sz w:val="20"/>
        </w:rPr>
        <w:t>described</w:t>
      </w:r>
      <w:r>
        <w:rPr>
          <w:b/>
          <w:spacing w:val="-5"/>
          <w:sz w:val="20"/>
        </w:rPr>
        <w:t xml:space="preserve"> </w:t>
      </w:r>
      <w:r>
        <w:rPr>
          <w:b/>
          <w:sz w:val="20"/>
        </w:rPr>
        <w:t>in</w:t>
      </w:r>
      <w:r>
        <w:rPr>
          <w:b/>
          <w:spacing w:val="-6"/>
          <w:sz w:val="20"/>
        </w:rPr>
        <w:t xml:space="preserve"> </w:t>
      </w:r>
      <w:r>
        <w:rPr>
          <w:b/>
          <w:sz w:val="20"/>
        </w:rPr>
        <w:t>paragraph</w:t>
      </w:r>
      <w:r>
        <w:rPr>
          <w:b/>
          <w:spacing w:val="-4"/>
          <w:sz w:val="20"/>
        </w:rPr>
        <w:t xml:space="preserve"> </w:t>
      </w:r>
      <w:r>
        <w:rPr>
          <w:b/>
          <w:sz w:val="20"/>
        </w:rPr>
        <w:t>(a)</w:t>
      </w:r>
      <w:r>
        <w:rPr>
          <w:b/>
          <w:spacing w:val="-4"/>
          <w:sz w:val="20"/>
        </w:rPr>
        <w:t xml:space="preserve"> </w:t>
      </w:r>
      <w:r>
        <w:rPr>
          <w:b/>
          <w:sz w:val="20"/>
        </w:rPr>
        <w:t>or</w:t>
      </w:r>
      <w:r>
        <w:rPr>
          <w:b/>
          <w:spacing w:val="-6"/>
          <w:sz w:val="20"/>
        </w:rPr>
        <w:t xml:space="preserve"> </w:t>
      </w:r>
      <w:r>
        <w:rPr>
          <w:b/>
          <w:sz w:val="20"/>
        </w:rPr>
        <w:t>(b)</w:t>
      </w:r>
      <w:r>
        <w:rPr>
          <w:b/>
          <w:spacing w:val="-6"/>
          <w:sz w:val="20"/>
        </w:rPr>
        <w:t xml:space="preserve"> </w:t>
      </w:r>
      <w:r>
        <w:rPr>
          <w:b/>
          <w:sz w:val="20"/>
        </w:rPr>
        <w:t>above,</w:t>
      </w:r>
      <w:r>
        <w:rPr>
          <w:b/>
          <w:spacing w:val="-6"/>
          <w:sz w:val="20"/>
        </w:rPr>
        <w:t xml:space="preserve"> </w:t>
      </w:r>
      <w:r>
        <w:rPr>
          <w:b/>
          <w:sz w:val="20"/>
        </w:rPr>
        <w:t>you</w:t>
      </w:r>
      <w:r>
        <w:rPr>
          <w:b/>
          <w:spacing w:val="-5"/>
          <w:sz w:val="20"/>
        </w:rPr>
        <w:t xml:space="preserve"> </w:t>
      </w:r>
      <w:r>
        <w:rPr>
          <w:b/>
          <w:sz w:val="20"/>
        </w:rPr>
        <w:t>must</w:t>
      </w:r>
      <w:r>
        <w:rPr>
          <w:b/>
          <w:spacing w:val="-4"/>
          <w:sz w:val="20"/>
        </w:rPr>
        <w:t xml:space="preserve"> </w:t>
      </w:r>
      <w:r>
        <w:rPr>
          <w:b/>
          <w:sz w:val="20"/>
        </w:rPr>
        <w:t>do</w:t>
      </w:r>
      <w:r>
        <w:rPr>
          <w:b/>
          <w:spacing w:val="-3"/>
          <w:sz w:val="20"/>
        </w:rPr>
        <w:t xml:space="preserve"> </w:t>
      </w:r>
      <w:r>
        <w:rPr>
          <w:b/>
          <w:sz w:val="20"/>
        </w:rPr>
        <w:t>so</w:t>
      </w:r>
      <w:r>
        <w:rPr>
          <w:b/>
          <w:spacing w:val="-7"/>
          <w:sz w:val="20"/>
        </w:rPr>
        <w:t xml:space="preserve"> </w:t>
      </w:r>
      <w:r>
        <w:rPr>
          <w:b/>
          <w:sz w:val="20"/>
        </w:rPr>
        <w:t>within strict time limitations.</w:t>
      </w:r>
    </w:p>
    <w:p w:rsidR="004D7A2D" w:rsidP="00A277ED" w14:paraId="1C2F089A" w14:textId="77777777">
      <w:pPr>
        <w:pStyle w:val="BodyText"/>
        <w:spacing w:before="8"/>
        <w:jc w:val="both"/>
        <w:rPr>
          <w:b/>
        </w:rPr>
      </w:pPr>
    </w:p>
    <w:p w:rsidR="004D7A2D" w:rsidP="00A277ED" w14:paraId="5369AE12" w14:textId="77777777">
      <w:pPr>
        <w:spacing w:before="1"/>
        <w:ind w:left="104" w:right="240"/>
        <w:jc w:val="both"/>
        <w:rPr>
          <w:b/>
          <w:sz w:val="20"/>
        </w:rPr>
      </w:pPr>
      <w:r>
        <w:rPr>
          <w:b/>
          <w:sz w:val="20"/>
        </w:rPr>
        <w:t>You</w:t>
      </w:r>
      <w:r>
        <w:rPr>
          <w:b/>
          <w:spacing w:val="-5"/>
          <w:sz w:val="20"/>
        </w:rPr>
        <w:t xml:space="preserve"> </w:t>
      </w:r>
      <w:r>
        <w:rPr>
          <w:b/>
          <w:sz w:val="20"/>
        </w:rPr>
        <w:t>should</w:t>
      </w:r>
      <w:r>
        <w:rPr>
          <w:b/>
          <w:spacing w:val="-8"/>
          <w:sz w:val="20"/>
        </w:rPr>
        <w:t xml:space="preserve"> </w:t>
      </w:r>
      <w:r>
        <w:rPr>
          <w:b/>
          <w:sz w:val="20"/>
        </w:rPr>
        <w:t>refer</w:t>
      </w:r>
      <w:r>
        <w:rPr>
          <w:b/>
          <w:spacing w:val="-7"/>
          <w:sz w:val="20"/>
        </w:rPr>
        <w:t xml:space="preserve"> </w:t>
      </w:r>
      <w:r>
        <w:rPr>
          <w:b/>
          <w:sz w:val="20"/>
        </w:rPr>
        <w:t>to</w:t>
      </w:r>
      <w:r>
        <w:rPr>
          <w:b/>
          <w:spacing w:val="-6"/>
          <w:sz w:val="20"/>
        </w:rPr>
        <w:t xml:space="preserve"> </w:t>
      </w:r>
      <w:r>
        <w:rPr>
          <w:b/>
          <w:sz w:val="20"/>
        </w:rPr>
        <w:t>any</w:t>
      </w:r>
      <w:r>
        <w:rPr>
          <w:b/>
          <w:spacing w:val="-7"/>
          <w:sz w:val="20"/>
        </w:rPr>
        <w:t xml:space="preserve"> </w:t>
      </w:r>
      <w:r>
        <w:rPr>
          <w:b/>
          <w:sz w:val="20"/>
        </w:rPr>
        <w:t>applicable</w:t>
      </w:r>
      <w:r>
        <w:rPr>
          <w:b/>
          <w:spacing w:val="-5"/>
          <w:sz w:val="20"/>
        </w:rPr>
        <w:t xml:space="preserve"> </w:t>
      </w:r>
      <w:r>
        <w:rPr>
          <w:b/>
          <w:sz w:val="20"/>
        </w:rPr>
        <w:t>provisions</w:t>
      </w:r>
      <w:r>
        <w:rPr>
          <w:b/>
          <w:spacing w:val="-6"/>
          <w:sz w:val="20"/>
        </w:rPr>
        <w:t xml:space="preserve"> </w:t>
      </w:r>
      <w:r>
        <w:rPr>
          <w:b/>
          <w:sz w:val="20"/>
        </w:rPr>
        <w:t>of</w:t>
      </w:r>
      <w:r>
        <w:rPr>
          <w:b/>
          <w:spacing w:val="-3"/>
          <w:sz w:val="20"/>
        </w:rPr>
        <w:t xml:space="preserve"> </w:t>
      </w:r>
      <w:r>
        <w:rPr>
          <w:b/>
          <w:sz w:val="20"/>
        </w:rPr>
        <w:t>the</w:t>
      </w:r>
      <w:r>
        <w:rPr>
          <w:b/>
          <w:spacing w:val="-6"/>
          <w:sz w:val="20"/>
        </w:rPr>
        <w:t xml:space="preserve"> </w:t>
      </w:r>
      <w:r>
        <w:rPr>
          <w:b/>
          <w:sz w:val="20"/>
        </w:rPr>
        <w:t>securities</w:t>
      </w:r>
      <w:r>
        <w:rPr>
          <w:b/>
          <w:spacing w:val="-6"/>
          <w:sz w:val="20"/>
        </w:rPr>
        <w:t xml:space="preserve"> </w:t>
      </w:r>
      <w:r>
        <w:rPr>
          <w:b/>
          <w:sz w:val="20"/>
        </w:rPr>
        <w:t>legislation</w:t>
      </w:r>
      <w:r>
        <w:rPr>
          <w:b/>
          <w:spacing w:val="-5"/>
          <w:sz w:val="20"/>
        </w:rPr>
        <w:t xml:space="preserve"> </w:t>
      </w:r>
      <w:r>
        <w:rPr>
          <w:b/>
          <w:sz w:val="20"/>
        </w:rPr>
        <w:t>of</w:t>
      </w:r>
      <w:r>
        <w:rPr>
          <w:b/>
          <w:spacing w:val="-8"/>
          <w:sz w:val="20"/>
        </w:rPr>
        <w:t xml:space="preserve"> </w:t>
      </w:r>
      <w:r>
        <w:rPr>
          <w:b/>
          <w:sz w:val="20"/>
        </w:rPr>
        <w:t>your</w:t>
      </w:r>
      <w:r>
        <w:rPr>
          <w:b/>
          <w:spacing w:val="-7"/>
          <w:sz w:val="20"/>
        </w:rPr>
        <w:t xml:space="preserve"> </w:t>
      </w:r>
      <w:r>
        <w:rPr>
          <w:b/>
          <w:sz w:val="20"/>
        </w:rPr>
        <w:t>province</w:t>
      </w:r>
      <w:r>
        <w:rPr>
          <w:b/>
          <w:spacing w:val="-6"/>
          <w:sz w:val="20"/>
        </w:rPr>
        <w:t xml:space="preserve"> </w:t>
      </w:r>
      <w:r>
        <w:rPr>
          <w:b/>
          <w:sz w:val="20"/>
        </w:rPr>
        <w:t>or territory for the particulars of these rights or consult with a legal adviser.</w:t>
      </w:r>
    </w:p>
    <w:p w:rsidR="004D7A2D" w14:paraId="1847D63D" w14:textId="77777777">
      <w:pPr>
        <w:pStyle w:val="BodyText"/>
        <w:spacing w:before="10"/>
        <w:rPr>
          <w:b/>
        </w:rPr>
      </w:pPr>
    </w:p>
    <w:p w:rsidR="004D7A2D" w14:paraId="16F292A4" w14:textId="77777777">
      <w:pPr>
        <w:pStyle w:val="Heading1"/>
        <w:ind w:left="1355"/>
      </w:pPr>
      <w:r>
        <w:t>ADDITIONAL</w:t>
      </w:r>
      <w:r>
        <w:rPr>
          <w:spacing w:val="-13"/>
        </w:rPr>
        <w:t xml:space="preserve"> </w:t>
      </w:r>
      <w:r>
        <w:rPr>
          <w:spacing w:val="-2"/>
        </w:rPr>
        <w:t>INFORMATION</w:t>
      </w:r>
    </w:p>
    <w:p w:rsidR="004D7A2D" w14:paraId="72F0650F" w14:textId="77777777">
      <w:pPr>
        <w:pStyle w:val="BodyText"/>
        <w:spacing w:before="11"/>
        <w:rPr>
          <w:b/>
        </w:rPr>
      </w:pPr>
    </w:p>
    <w:p w:rsidR="004D7A2D" w14:paraId="0B61D53B" w14:textId="77777777">
      <w:pPr>
        <w:ind w:left="104"/>
        <w:rPr>
          <w:b/>
          <w:sz w:val="20"/>
        </w:rPr>
      </w:pPr>
      <w:r>
        <w:rPr>
          <w:b/>
          <w:sz w:val="20"/>
        </w:rPr>
        <w:t>Where</w:t>
      </w:r>
      <w:r>
        <w:rPr>
          <w:b/>
          <w:spacing w:val="-8"/>
          <w:sz w:val="20"/>
        </w:rPr>
        <w:t xml:space="preserve"> </w:t>
      </w:r>
      <w:r>
        <w:rPr>
          <w:b/>
          <w:sz w:val="20"/>
        </w:rPr>
        <w:t>can</w:t>
      </w:r>
      <w:r>
        <w:rPr>
          <w:b/>
          <w:spacing w:val="-8"/>
          <w:sz w:val="20"/>
        </w:rPr>
        <w:t xml:space="preserve"> </w:t>
      </w:r>
      <w:r>
        <w:rPr>
          <w:b/>
          <w:sz w:val="20"/>
        </w:rPr>
        <w:t>you</w:t>
      </w:r>
      <w:r>
        <w:rPr>
          <w:b/>
          <w:spacing w:val="-7"/>
          <w:sz w:val="20"/>
        </w:rPr>
        <w:t xml:space="preserve"> </w:t>
      </w:r>
      <w:r>
        <w:rPr>
          <w:b/>
          <w:sz w:val="20"/>
        </w:rPr>
        <w:t>find</w:t>
      </w:r>
      <w:r>
        <w:rPr>
          <w:b/>
          <w:spacing w:val="-7"/>
          <w:sz w:val="20"/>
        </w:rPr>
        <w:t xml:space="preserve"> </w:t>
      </w:r>
      <w:r>
        <w:rPr>
          <w:b/>
          <w:sz w:val="20"/>
        </w:rPr>
        <w:t>more</w:t>
      </w:r>
      <w:r>
        <w:rPr>
          <w:b/>
          <w:spacing w:val="-7"/>
          <w:sz w:val="20"/>
        </w:rPr>
        <w:t xml:space="preserve"> </w:t>
      </w:r>
      <w:r>
        <w:rPr>
          <w:b/>
          <w:sz w:val="20"/>
        </w:rPr>
        <w:t>information</w:t>
      </w:r>
      <w:r>
        <w:rPr>
          <w:b/>
          <w:spacing w:val="-8"/>
          <w:sz w:val="20"/>
        </w:rPr>
        <w:t xml:space="preserve"> </w:t>
      </w:r>
      <w:r>
        <w:rPr>
          <w:b/>
          <w:sz w:val="20"/>
        </w:rPr>
        <w:t>about</w:t>
      </w:r>
      <w:r>
        <w:rPr>
          <w:b/>
          <w:spacing w:val="-7"/>
          <w:sz w:val="20"/>
        </w:rPr>
        <w:t xml:space="preserve"> </w:t>
      </w:r>
      <w:r>
        <w:rPr>
          <w:b/>
          <w:spacing w:val="-5"/>
          <w:sz w:val="20"/>
        </w:rPr>
        <w:t>us?</w:t>
      </w:r>
    </w:p>
    <w:p w:rsidR="004D7A2D" w14:paraId="433DF7C0" w14:textId="77777777">
      <w:pPr>
        <w:pStyle w:val="BodyText"/>
        <w:spacing w:before="10"/>
        <w:rPr>
          <w:b/>
        </w:rPr>
      </w:pPr>
    </w:p>
    <w:p w:rsidR="00AD27A7" w:rsidP="000564FD" w14:paraId="3B5646E2" w14:textId="6AD0236A">
      <w:pPr>
        <w:pStyle w:val="BodyText"/>
        <w:ind w:left="104" w:right="180"/>
        <w:jc w:val="both"/>
      </w:pPr>
      <w:r>
        <w:t>You</w:t>
      </w:r>
      <w:r>
        <w:rPr>
          <w:spacing w:val="-7"/>
        </w:rPr>
        <w:t xml:space="preserve"> </w:t>
      </w:r>
      <w:r>
        <w:t>can</w:t>
      </w:r>
      <w:r>
        <w:rPr>
          <w:spacing w:val="-7"/>
        </w:rPr>
        <w:t xml:space="preserve"> </w:t>
      </w:r>
      <w:r>
        <w:t>access</w:t>
      </w:r>
      <w:r>
        <w:rPr>
          <w:spacing w:val="-5"/>
        </w:rPr>
        <w:t xml:space="preserve"> </w:t>
      </w:r>
      <w:r>
        <w:t>the</w:t>
      </w:r>
      <w:r>
        <w:rPr>
          <w:spacing w:val="-4"/>
        </w:rPr>
        <w:t xml:space="preserve"> </w:t>
      </w:r>
      <w:r>
        <w:t>Company’s</w:t>
      </w:r>
      <w:r>
        <w:rPr>
          <w:spacing w:val="-4"/>
        </w:rPr>
        <w:t xml:space="preserve"> </w:t>
      </w:r>
      <w:r>
        <w:t>continuous</w:t>
      </w:r>
      <w:r>
        <w:rPr>
          <w:spacing w:val="-6"/>
        </w:rPr>
        <w:t xml:space="preserve"> </w:t>
      </w:r>
      <w:r>
        <w:t>disclosure</w:t>
      </w:r>
      <w:r>
        <w:rPr>
          <w:spacing w:val="-4"/>
        </w:rPr>
        <w:t xml:space="preserve"> </w:t>
      </w:r>
      <w:r>
        <w:t>under</w:t>
      </w:r>
      <w:r>
        <w:rPr>
          <w:spacing w:val="-4"/>
        </w:rPr>
        <w:t xml:space="preserve"> </w:t>
      </w:r>
      <w:r>
        <w:t>its</w:t>
      </w:r>
      <w:r>
        <w:rPr>
          <w:spacing w:val="-6"/>
        </w:rPr>
        <w:t xml:space="preserve"> </w:t>
      </w:r>
      <w:r>
        <w:t>profile</w:t>
      </w:r>
      <w:r>
        <w:rPr>
          <w:spacing w:val="-6"/>
        </w:rPr>
        <w:t xml:space="preserve"> </w:t>
      </w:r>
      <w:r>
        <w:t>at</w:t>
      </w:r>
      <w:r>
        <w:rPr>
          <w:spacing w:val="-7"/>
        </w:rPr>
        <w:t xml:space="preserve"> </w:t>
      </w:r>
      <w:r w:rsidRPr="00E943CA" w:rsidR="00391E98">
        <w:rPr>
          <w:rStyle w:val="DefaultParagraphFont"/>
        </w:rPr>
        <w:t>www.sedarplus.ca</w:t>
      </w:r>
      <w:r>
        <w:t>.</w:t>
      </w:r>
      <w:r>
        <w:rPr>
          <w:spacing w:val="-7"/>
        </w:rPr>
        <w:t xml:space="preserve"> </w:t>
      </w:r>
      <w:r>
        <w:t>The</w:t>
      </w:r>
      <w:r w:rsidR="000564FD">
        <w:t xml:space="preserve"> </w:t>
      </w:r>
      <w:r>
        <w:t>Company’s website address is</w:t>
      </w:r>
      <w:r w:rsidR="0091468A">
        <w:t xml:space="preserve"> </w:t>
      </w:r>
      <w:r w:rsidRPr="009624ED" w:rsidR="0091468A">
        <w:rPr>
          <w:rStyle w:val="DefaultParagraphFont"/>
        </w:rPr>
        <w:t>www.starcopper.com</w:t>
      </w:r>
      <w:r w:rsidR="0091468A">
        <w:t>.</w:t>
      </w:r>
    </w:p>
    <w:p w:rsidR="0091468A" w:rsidP="000564FD" w14:paraId="43784B24" w14:textId="77777777">
      <w:pPr>
        <w:pStyle w:val="BodyText"/>
        <w:ind w:left="104" w:right="180"/>
        <w:jc w:val="both"/>
      </w:pPr>
    </w:p>
    <w:p w:rsidR="00465475" w:rsidP="000564FD" w14:paraId="7AEFC34E" w14:textId="77777777">
      <w:pPr>
        <w:pStyle w:val="BodyText"/>
        <w:ind w:left="104" w:right="180"/>
        <w:jc w:val="both"/>
      </w:pPr>
    </w:p>
    <w:p w:rsidR="00465475" w:rsidP="000564FD" w14:paraId="2234591C" w14:textId="7EC5828C">
      <w:pPr>
        <w:pStyle w:val="BodyText"/>
        <w:ind w:left="104" w:right="180"/>
        <w:jc w:val="both"/>
      </w:pPr>
      <w:r>
        <w:t>All dollar figures outlined in this Offering Document are expressed in Canadian dollars unless otherwise noted.</w:t>
      </w:r>
    </w:p>
    <w:p w:rsidR="000C2C2E" w:rsidP="000564FD" w14:paraId="7FE2E3A6" w14:textId="77777777">
      <w:pPr>
        <w:pStyle w:val="BodyText"/>
        <w:ind w:left="104" w:right="180"/>
        <w:jc w:val="both"/>
      </w:pPr>
    </w:p>
    <w:p w:rsidR="00465475" w:rsidP="000564FD" w14:paraId="4506611A" w14:textId="77777777">
      <w:pPr>
        <w:pStyle w:val="BodyText"/>
        <w:ind w:left="104" w:right="180"/>
        <w:jc w:val="both"/>
        <w:rPr>
          <w:b/>
          <w:bCs/>
        </w:rPr>
      </w:pPr>
    </w:p>
    <w:p w:rsidR="00465475" w:rsidRPr="00465475" w:rsidP="000564FD" w14:paraId="3191006D" w14:textId="6C78C9B9">
      <w:pPr>
        <w:pStyle w:val="BodyText"/>
        <w:ind w:left="104" w:right="180"/>
        <w:jc w:val="both"/>
        <w:rPr>
          <w:i/>
          <w:iCs/>
        </w:rPr>
      </w:pPr>
      <w:r>
        <w:rPr>
          <w:i/>
          <w:iCs/>
        </w:rPr>
        <w:t>Purchasers should read this Offering Document and consult their own professional advisors to asses the income tax, legal, risk factors and other aspects of their investment in the Units.</w:t>
      </w:r>
    </w:p>
    <w:p w:rsidR="000C2C2E" w14:paraId="4EEAEE58" w14:textId="77777777">
      <w:pPr>
        <w:sectPr w:rsidSect="00F13F6B">
          <w:headerReference w:type="default" r:id="rId8"/>
          <w:pgSz w:w="12240" w:h="15840"/>
          <w:pgMar w:top="940" w:right="1080" w:bottom="630" w:left="1260" w:header="727" w:footer="622" w:gutter="0"/>
          <w:cols w:space="720"/>
        </w:sectPr>
      </w:pPr>
    </w:p>
    <w:p w:rsidR="00AD27A7" w14:paraId="303A5AA4" w14:textId="1FF3D915">
      <w:pPr>
        <w:rPr>
          <w:sz w:val="20"/>
          <w:szCs w:val="20"/>
        </w:rPr>
      </w:pPr>
    </w:p>
    <w:p w:rsidR="00AD27A7" w:rsidP="00AD27A7" w14:paraId="5C528F13" w14:textId="77777777">
      <w:pPr>
        <w:pStyle w:val="Heading1"/>
        <w:ind w:left="1354"/>
      </w:pPr>
      <w:r>
        <w:t>DATE</w:t>
      </w:r>
      <w:r>
        <w:rPr>
          <w:spacing w:val="-6"/>
        </w:rPr>
        <w:t xml:space="preserve"> </w:t>
      </w:r>
      <w:r>
        <w:t>AND</w:t>
      </w:r>
      <w:r>
        <w:rPr>
          <w:spacing w:val="-5"/>
        </w:rPr>
        <w:t xml:space="preserve"> </w:t>
      </w:r>
      <w:r>
        <w:rPr>
          <w:spacing w:val="-2"/>
        </w:rPr>
        <w:t>CERTIFICATE</w:t>
      </w:r>
    </w:p>
    <w:p w:rsidR="00AD27A7" w:rsidP="00AD27A7" w14:paraId="6647A9DC" w14:textId="77777777">
      <w:pPr>
        <w:pStyle w:val="BodyText"/>
        <w:spacing w:before="8"/>
        <w:rPr>
          <w:b/>
        </w:rPr>
      </w:pPr>
    </w:p>
    <w:p w:rsidR="00AD27A7" w:rsidRPr="00DE0922" w:rsidP="00AD27A7" w14:paraId="664C5495" w14:textId="48734577">
      <w:pPr>
        <w:ind w:left="104" w:right="317"/>
        <w:jc w:val="both"/>
        <w:rPr>
          <w:b/>
          <w:sz w:val="20"/>
        </w:rPr>
      </w:pPr>
      <w:r>
        <w:rPr>
          <w:b/>
          <w:sz w:val="20"/>
        </w:rPr>
        <w:t>This</w:t>
      </w:r>
      <w:r>
        <w:rPr>
          <w:b/>
          <w:spacing w:val="-5"/>
          <w:sz w:val="20"/>
        </w:rPr>
        <w:t xml:space="preserve"> </w:t>
      </w:r>
      <w:r>
        <w:rPr>
          <w:b/>
          <w:sz w:val="20"/>
        </w:rPr>
        <w:t>Offering</w:t>
      </w:r>
      <w:r>
        <w:rPr>
          <w:b/>
          <w:spacing w:val="-3"/>
          <w:sz w:val="20"/>
        </w:rPr>
        <w:t xml:space="preserve"> </w:t>
      </w:r>
      <w:r>
        <w:rPr>
          <w:b/>
          <w:sz w:val="20"/>
        </w:rPr>
        <w:t>Document,</w:t>
      </w:r>
      <w:r>
        <w:rPr>
          <w:b/>
          <w:spacing w:val="-5"/>
          <w:sz w:val="20"/>
        </w:rPr>
        <w:t xml:space="preserve"> </w:t>
      </w:r>
      <w:r>
        <w:rPr>
          <w:b/>
          <w:sz w:val="20"/>
        </w:rPr>
        <w:t>together</w:t>
      </w:r>
      <w:r>
        <w:rPr>
          <w:b/>
          <w:spacing w:val="-6"/>
          <w:sz w:val="20"/>
        </w:rPr>
        <w:t xml:space="preserve"> </w:t>
      </w:r>
      <w:r>
        <w:rPr>
          <w:b/>
          <w:sz w:val="20"/>
        </w:rPr>
        <w:t>with</w:t>
      </w:r>
      <w:r>
        <w:rPr>
          <w:b/>
          <w:spacing w:val="-4"/>
          <w:sz w:val="20"/>
        </w:rPr>
        <w:t xml:space="preserve"> </w:t>
      </w:r>
      <w:r>
        <w:rPr>
          <w:b/>
          <w:sz w:val="20"/>
        </w:rPr>
        <w:t>any</w:t>
      </w:r>
      <w:r>
        <w:rPr>
          <w:b/>
          <w:spacing w:val="-5"/>
          <w:sz w:val="20"/>
        </w:rPr>
        <w:t xml:space="preserve"> </w:t>
      </w:r>
      <w:r>
        <w:rPr>
          <w:b/>
          <w:sz w:val="20"/>
        </w:rPr>
        <w:t>document</w:t>
      </w:r>
      <w:r>
        <w:rPr>
          <w:b/>
          <w:spacing w:val="-4"/>
          <w:sz w:val="20"/>
        </w:rPr>
        <w:t xml:space="preserve"> </w:t>
      </w:r>
      <w:r>
        <w:rPr>
          <w:b/>
          <w:sz w:val="20"/>
        </w:rPr>
        <w:t>filed</w:t>
      </w:r>
      <w:r>
        <w:rPr>
          <w:b/>
          <w:spacing w:val="-4"/>
          <w:sz w:val="20"/>
        </w:rPr>
        <w:t xml:space="preserve"> </w:t>
      </w:r>
      <w:r>
        <w:rPr>
          <w:b/>
          <w:sz w:val="20"/>
        </w:rPr>
        <w:t>under</w:t>
      </w:r>
      <w:r>
        <w:rPr>
          <w:b/>
          <w:spacing w:val="-6"/>
          <w:sz w:val="20"/>
        </w:rPr>
        <w:t xml:space="preserve"> </w:t>
      </w:r>
      <w:r>
        <w:rPr>
          <w:b/>
          <w:sz w:val="20"/>
        </w:rPr>
        <w:t>Canadian</w:t>
      </w:r>
      <w:r>
        <w:rPr>
          <w:b/>
          <w:spacing w:val="-2"/>
          <w:sz w:val="20"/>
        </w:rPr>
        <w:t xml:space="preserve"> </w:t>
      </w:r>
      <w:r>
        <w:rPr>
          <w:b/>
          <w:sz w:val="20"/>
        </w:rPr>
        <w:t>securities</w:t>
      </w:r>
      <w:r>
        <w:rPr>
          <w:b/>
          <w:spacing w:val="-5"/>
          <w:sz w:val="20"/>
        </w:rPr>
        <w:t xml:space="preserve"> </w:t>
      </w:r>
      <w:r>
        <w:rPr>
          <w:b/>
          <w:sz w:val="20"/>
        </w:rPr>
        <w:t xml:space="preserve">legislation on or after </w:t>
      </w:r>
      <w:r w:rsidR="0091468A">
        <w:rPr>
          <w:b/>
          <w:sz w:val="20"/>
        </w:rPr>
        <w:t>May 15, 2024</w:t>
      </w:r>
      <w:r w:rsidRPr="00DE0922">
        <w:rPr>
          <w:b/>
          <w:sz w:val="20"/>
        </w:rPr>
        <w:t>, contains disclosure of all material facts about the securities being distributed and does not contain a misrepresentation.</w:t>
      </w:r>
    </w:p>
    <w:p w:rsidR="00AD27A7" w:rsidRPr="00DE0922" w:rsidP="00AD27A7" w14:paraId="1955B50B" w14:textId="77777777">
      <w:pPr>
        <w:pStyle w:val="BodyText"/>
        <w:rPr>
          <w:b/>
          <w:sz w:val="21"/>
        </w:rPr>
      </w:pPr>
    </w:p>
    <w:p w:rsidR="00AD27A7" w:rsidP="00AD27A7" w14:paraId="080F2378" w14:textId="5C0BC13F">
      <w:pPr>
        <w:pStyle w:val="BodyText"/>
        <w:ind w:left="104"/>
      </w:pPr>
      <w:r w:rsidRPr="00DE0922">
        <w:t>Dated:</w:t>
      </w:r>
      <w:r w:rsidRPr="00DE0922">
        <w:rPr>
          <w:spacing w:val="-6"/>
        </w:rPr>
        <w:t xml:space="preserve"> </w:t>
      </w:r>
      <w:r w:rsidR="0091468A">
        <w:rPr>
          <w:spacing w:val="-6"/>
        </w:rPr>
        <w:t>May 15, 2025</w:t>
      </w:r>
    </w:p>
    <w:p w:rsidR="00AD27A7" w:rsidP="00AD27A7" w14:paraId="47D0561C" w14:textId="77777777">
      <w:pPr>
        <w:pStyle w:val="BodyText"/>
      </w:pPr>
    </w:p>
    <w:p w:rsidR="00AD27A7" w:rsidP="00AD27A7" w14:paraId="1E844DC2" w14:textId="77777777">
      <w:pPr>
        <w:pStyle w:val="BodyText"/>
      </w:pPr>
    </w:p>
    <w:p w:rsidR="00AD27A7" w:rsidP="00AD27A7" w14:paraId="54A7E04B" w14:textId="77777777">
      <w:pPr>
        <w:pStyle w:val="BodyText"/>
      </w:pPr>
    </w:p>
    <w:p w:rsidR="00AD27A7" w:rsidP="00AD27A7" w14:paraId="47548EC3" w14:textId="77777777">
      <w:pPr>
        <w:pStyle w:val="BodyText"/>
      </w:pPr>
    </w:p>
    <w:p w:rsidR="00AD27A7" w:rsidP="00AD27A7" w14:paraId="11F5AFCD" w14:textId="77777777">
      <w:pPr>
        <w:pStyle w:val="BodyText"/>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3775"/>
        <w:gridCol w:w="1170"/>
        <w:gridCol w:w="3600"/>
      </w:tblGrid>
      <w:tr w14:paraId="5330F2E2" w14:textId="77777777" w:rsidTr="00A85CE9">
        <w:tblPrEx>
          <w:tblW w:w="0" w:type="auto"/>
          <w:tblInd w:w="0" w:type="dxa"/>
          <w:tblLook w:val="04A0"/>
        </w:tblPrEx>
        <w:tc>
          <w:tcPr>
            <w:tcW w:w="3775" w:type="dxa"/>
            <w:tcBorders>
              <w:bottom w:val="single" w:sz="4" w:space="0" w:color="auto"/>
            </w:tcBorders>
          </w:tcPr>
          <w:p w:rsidR="00AD27A7" w:rsidP="00A85CE9" w14:paraId="19660099" w14:textId="6B69FF38">
            <w:pPr>
              <w:pStyle w:val="BodyText"/>
              <w:widowControl/>
              <w:autoSpaceDE/>
              <w:autoSpaceDN/>
              <w:rPr>
                <w:rFonts w:ascii="Arial" w:eastAsia="Arial" w:hAnsi="Arial" w:cs="Arial"/>
                <w:sz w:val="20"/>
                <w:szCs w:val="20"/>
                <w:lang w:val="en-US" w:eastAsia="en-US" w:bidi="ar-SA"/>
              </w:rPr>
            </w:pPr>
          </w:p>
        </w:tc>
        <w:tc>
          <w:tcPr>
            <w:tcW w:w="1170" w:type="dxa"/>
          </w:tcPr>
          <w:p w:rsidR="00AD27A7" w:rsidP="00A85CE9" w14:paraId="7931BF1A" w14:textId="77777777">
            <w:pPr>
              <w:pStyle w:val="BodyText"/>
              <w:widowControl/>
              <w:autoSpaceDE/>
              <w:autoSpaceDN/>
              <w:rPr>
                <w:rFonts w:ascii="Arial" w:eastAsia="Arial" w:hAnsi="Arial" w:cs="Arial"/>
                <w:sz w:val="20"/>
                <w:szCs w:val="20"/>
                <w:lang w:val="en-US" w:eastAsia="en-US" w:bidi="ar-SA"/>
              </w:rPr>
            </w:pPr>
          </w:p>
        </w:tc>
        <w:tc>
          <w:tcPr>
            <w:tcW w:w="3600" w:type="dxa"/>
            <w:tcBorders>
              <w:bottom w:val="single" w:sz="4" w:space="0" w:color="auto"/>
            </w:tcBorders>
          </w:tcPr>
          <w:p w:rsidR="00AD27A7" w:rsidP="00A85CE9" w14:paraId="047D3A44" w14:textId="5896A3BB">
            <w:pPr>
              <w:pStyle w:val="BodyText"/>
              <w:widowControl/>
              <w:autoSpaceDE/>
              <w:autoSpaceDN/>
              <w:rPr>
                <w:rFonts w:ascii="Arial" w:eastAsia="Arial" w:hAnsi="Arial" w:cs="Arial"/>
                <w:sz w:val="20"/>
                <w:szCs w:val="20"/>
                <w:lang w:val="en-US" w:eastAsia="en-US" w:bidi="ar-SA"/>
              </w:rPr>
            </w:pPr>
          </w:p>
        </w:tc>
      </w:tr>
      <w:tr w14:paraId="4774C804" w14:textId="77777777" w:rsidTr="00A85CE9">
        <w:tblPrEx>
          <w:tblW w:w="0" w:type="auto"/>
          <w:tblInd w:w="0" w:type="dxa"/>
          <w:tblLook w:val="04A0"/>
        </w:tblPrEx>
        <w:tc>
          <w:tcPr>
            <w:tcW w:w="3775" w:type="dxa"/>
            <w:tcBorders>
              <w:top w:val="single" w:sz="4" w:space="0" w:color="auto"/>
            </w:tcBorders>
          </w:tcPr>
          <w:p w:rsidR="00AD27A7" w:rsidRPr="00AD27A7" w:rsidP="00A85CE9" w14:paraId="17E29A13" w14:textId="26438488">
            <w:pPr>
              <w:pStyle w:val="BodyText"/>
              <w:widowControl/>
              <w:autoSpaceDE/>
              <w:autoSpaceDN/>
              <w:rPr>
                <w:rFonts w:ascii="Arial" w:eastAsia="Arial" w:hAnsi="Arial" w:cs="Arial"/>
                <w:iCs/>
                <w:sz w:val="20"/>
                <w:szCs w:val="20"/>
                <w:lang w:val="en-US" w:eastAsia="en-US" w:bidi="ar-SA"/>
              </w:rPr>
            </w:pPr>
            <w:r>
              <w:rPr>
                <w:rFonts w:ascii="Arial" w:eastAsia="Arial" w:hAnsi="Arial" w:cs="Arial"/>
                <w:iCs/>
                <w:sz w:val="20"/>
                <w:szCs w:val="20"/>
                <w:lang w:val="en-US" w:eastAsia="en-US" w:bidi="ar-SA"/>
              </w:rPr>
              <w:t>Da</w:t>
            </w:r>
            <w:r w:rsidR="0091468A">
              <w:rPr>
                <w:rFonts w:ascii="Arial" w:eastAsia="Arial" w:hAnsi="Arial" w:cs="Arial"/>
                <w:iCs/>
                <w:sz w:val="20"/>
                <w:szCs w:val="20"/>
                <w:lang w:val="en-US" w:eastAsia="en-US" w:bidi="ar-SA"/>
              </w:rPr>
              <w:t>rryl Jones</w:t>
            </w:r>
          </w:p>
        </w:tc>
        <w:tc>
          <w:tcPr>
            <w:tcW w:w="1170" w:type="dxa"/>
          </w:tcPr>
          <w:p w:rsidR="00AD27A7" w:rsidP="00A85CE9" w14:paraId="6B3D99CD" w14:textId="77777777">
            <w:pPr>
              <w:pStyle w:val="BodyText"/>
              <w:widowControl/>
              <w:autoSpaceDE/>
              <w:autoSpaceDN/>
              <w:rPr>
                <w:rFonts w:ascii="Arial" w:eastAsia="Arial" w:hAnsi="Arial" w:cs="Arial"/>
                <w:sz w:val="20"/>
                <w:szCs w:val="20"/>
                <w:lang w:val="en-US" w:eastAsia="en-US" w:bidi="ar-SA"/>
              </w:rPr>
            </w:pPr>
          </w:p>
        </w:tc>
        <w:tc>
          <w:tcPr>
            <w:tcW w:w="3600" w:type="dxa"/>
            <w:tcBorders>
              <w:top w:val="single" w:sz="4" w:space="0" w:color="auto"/>
            </w:tcBorders>
          </w:tcPr>
          <w:p w:rsidR="00AD27A7" w:rsidRPr="00AD27A7" w:rsidP="00A85CE9" w14:paraId="35423194" w14:textId="636FDF2A">
            <w:pPr>
              <w:pStyle w:val="BodyText"/>
              <w:widowControl/>
              <w:autoSpaceDE/>
              <w:autoSpaceDN/>
              <w:rPr>
                <w:rFonts w:ascii="Arial" w:eastAsia="Arial" w:hAnsi="Arial" w:cs="Arial"/>
                <w:iCs/>
                <w:sz w:val="20"/>
                <w:szCs w:val="20"/>
                <w:lang w:val="en-US" w:eastAsia="en-US" w:bidi="ar-SA"/>
              </w:rPr>
            </w:pPr>
            <w:r>
              <w:rPr>
                <w:rFonts w:ascii="Arial" w:eastAsia="Arial" w:hAnsi="Arial" w:cs="Arial"/>
                <w:iCs/>
                <w:sz w:val="20"/>
                <w:szCs w:val="20"/>
                <w:lang w:val="en-US" w:eastAsia="en-US" w:bidi="ar-SA"/>
              </w:rPr>
              <w:t>Jody Bellefleur</w:t>
            </w:r>
          </w:p>
        </w:tc>
      </w:tr>
      <w:tr w14:paraId="0792E841" w14:textId="77777777" w:rsidTr="00A85CE9">
        <w:tblPrEx>
          <w:tblW w:w="0" w:type="auto"/>
          <w:tblInd w:w="0" w:type="dxa"/>
          <w:tblLook w:val="04A0"/>
        </w:tblPrEx>
        <w:trPr>
          <w:trHeight w:val="70"/>
        </w:trPr>
        <w:tc>
          <w:tcPr>
            <w:tcW w:w="3775" w:type="dxa"/>
          </w:tcPr>
          <w:p w:rsidR="00AD27A7" w:rsidRPr="00AD27A7" w:rsidP="00A85CE9" w14:paraId="662A25B5" w14:textId="77777777">
            <w:pPr>
              <w:pStyle w:val="BodyText"/>
              <w:widowControl/>
              <w:autoSpaceDE/>
              <w:autoSpaceDN/>
              <w:rPr>
                <w:rFonts w:ascii="Arial" w:eastAsia="Arial" w:hAnsi="Arial" w:cs="Arial"/>
                <w:iCs/>
                <w:sz w:val="20"/>
                <w:szCs w:val="20"/>
                <w:lang w:val="en-US" w:eastAsia="en-US" w:bidi="ar-SA"/>
              </w:rPr>
            </w:pPr>
            <w:r>
              <w:rPr>
                <w:rFonts w:ascii="Arial" w:eastAsia="Arial" w:hAnsi="Arial" w:cs="Arial"/>
                <w:iCs/>
                <w:sz w:val="20"/>
                <w:szCs w:val="20"/>
                <w:lang w:val="en-US" w:eastAsia="en-US" w:bidi="ar-SA"/>
              </w:rPr>
              <w:t>Chief Executive Officer</w:t>
            </w:r>
          </w:p>
        </w:tc>
        <w:tc>
          <w:tcPr>
            <w:tcW w:w="1170" w:type="dxa"/>
          </w:tcPr>
          <w:p w:rsidR="00AD27A7" w:rsidP="00A85CE9" w14:paraId="79F56BF0" w14:textId="77777777">
            <w:pPr>
              <w:pStyle w:val="BodyText"/>
              <w:widowControl/>
              <w:autoSpaceDE/>
              <w:autoSpaceDN/>
              <w:rPr>
                <w:rFonts w:ascii="Arial" w:eastAsia="Arial" w:hAnsi="Arial" w:cs="Arial"/>
                <w:sz w:val="20"/>
                <w:szCs w:val="20"/>
                <w:lang w:val="en-US" w:eastAsia="en-US" w:bidi="ar-SA"/>
              </w:rPr>
            </w:pPr>
          </w:p>
        </w:tc>
        <w:tc>
          <w:tcPr>
            <w:tcW w:w="3600" w:type="dxa"/>
          </w:tcPr>
          <w:p w:rsidR="00AD27A7" w:rsidRPr="00AD27A7" w:rsidP="00A85CE9" w14:paraId="573AD890" w14:textId="77777777">
            <w:pPr>
              <w:pStyle w:val="BodyText"/>
              <w:widowControl/>
              <w:autoSpaceDE/>
              <w:autoSpaceDN/>
              <w:rPr>
                <w:rFonts w:ascii="Arial" w:eastAsia="Arial" w:hAnsi="Arial" w:cs="Arial"/>
                <w:iCs/>
                <w:sz w:val="20"/>
                <w:szCs w:val="20"/>
                <w:lang w:val="en-US" w:eastAsia="en-US" w:bidi="ar-SA"/>
              </w:rPr>
            </w:pPr>
            <w:r>
              <w:rPr>
                <w:rFonts w:ascii="Arial" w:eastAsia="Arial" w:hAnsi="Arial" w:cs="Arial"/>
                <w:iCs/>
                <w:sz w:val="20"/>
                <w:szCs w:val="20"/>
                <w:lang w:val="en-US" w:eastAsia="en-US" w:bidi="ar-SA"/>
              </w:rPr>
              <w:t>Chief Financial Officer</w:t>
            </w:r>
          </w:p>
        </w:tc>
      </w:tr>
    </w:tbl>
    <w:p w:rsidR="00AD27A7" w:rsidP="00AD27A7" w14:paraId="29E4B438" w14:textId="77777777">
      <w:pPr>
        <w:pStyle w:val="BodyText"/>
      </w:pPr>
    </w:p>
    <w:p w:rsidR="00AD27A7" w14:paraId="69C59784" w14:textId="77777777"/>
    <w:sectPr w:rsidSect="00642F83">
      <w:pgSz w:w="12240" w:h="15840"/>
      <w:pgMar w:top="940" w:right="1080" w:bottom="630" w:left="1260" w:header="727" w:footer="62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ItalicMT">
    <w:altName w:val="Arial"/>
    <w:charset w:val="00"/>
    <w:family w:val="swiss"/>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7CA4" w:rsidRPr="00A67CA4" w:rsidP="00A67CA4" w14:paraId="2532A918" w14:textId="10D88A58">
    <w:pPr>
      <w:pStyle w:val="Header"/>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7A2D" w14:paraId="77D572ED" w14:textId="631774D4">
    <w:pPr>
      <w:pStyle w:val="BodyText"/>
      <w:spacing w:line="14" w:lineRule="auto"/>
    </w:pPr>
    <w:r>
      <w:rPr>
        <w:noProof/>
      </w:rPr>
      <mc:AlternateContent>
        <mc:Choice Requires="wps">
          <w:drawing>
            <wp:anchor distT="0" distB="0" distL="114300" distR="114300" simplePos="0" relativeHeight="251658240" behindDoc="1" locked="0" layoutInCell="1" allowOverlap="1">
              <wp:simplePos x="0" y="0"/>
              <wp:positionH relativeFrom="page">
                <wp:posOffset>3761105</wp:posOffset>
              </wp:positionH>
              <wp:positionV relativeFrom="page">
                <wp:posOffset>295114</wp:posOffset>
              </wp:positionV>
              <wp:extent cx="250825" cy="167005"/>
              <wp:effectExtent l="0" t="0" r="15875" b="4445"/>
              <wp:wrapNone/>
              <wp:docPr id="2" name="docshape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0825" cy="1670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D7A2D" w14:textId="77777777">
                          <w:pPr>
                            <w:pStyle w:val="BodyText"/>
                            <w:spacing w:before="12"/>
                            <w:ind w:left="20"/>
                          </w:pPr>
                          <w:r>
                            <w:t>-</w:t>
                          </w:r>
                          <w:r>
                            <w:rPr>
                              <w:spacing w:val="-1"/>
                            </w:rPr>
                            <w:t xml:space="preserve"> </w:t>
                          </w:r>
                          <w:r>
                            <w:fldChar w:fldCharType="begin"/>
                          </w:r>
                          <w:r>
                            <w:instrText xml:space="preserve"> PAGE </w:instrText>
                          </w:r>
                          <w:r>
                            <w:fldChar w:fldCharType="separate"/>
                          </w:r>
                          <w:r>
                            <w:t>2</w:t>
                          </w:r>
                          <w:r>
                            <w:fldChar w:fldCharType="end"/>
                          </w:r>
                          <w:r>
                            <w:rPr>
                              <w:spacing w:val="-2"/>
                            </w:rPr>
                            <w:t xml:space="preserve"> </w:t>
                          </w:r>
                          <w:r>
                            <w:rPr>
                              <w:spacing w:val="-10"/>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2049" type="#_x0000_t202" style="width:19.75pt;height:13.15pt;margin-top:23.25pt;margin-left:296.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4D7A2D" w14:paraId="09D291CA" w14:textId="77777777">
                    <w:pPr>
                      <w:pStyle w:val="BodyText"/>
                      <w:spacing w:before="12"/>
                      <w:ind w:left="20"/>
                    </w:pPr>
                    <w:r>
                      <w:t>-</w:t>
                    </w:r>
                    <w:r>
                      <w:rPr>
                        <w:spacing w:val="-1"/>
                      </w:rPr>
                      <w:t xml:space="preserve"> </w:t>
                    </w:r>
                    <w:r>
                      <w:fldChar w:fldCharType="begin"/>
                    </w:r>
                    <w:r>
                      <w:instrText xml:space="preserve"> PAGE </w:instrText>
                    </w:r>
                    <w:r>
                      <w:fldChar w:fldCharType="separate"/>
                    </w:r>
                    <w:r>
                      <w:t>2</w:t>
                    </w:r>
                    <w:r>
                      <w:fldChar w:fldCharType="end"/>
                    </w:r>
                    <w:r>
                      <w:rPr>
                        <w:spacing w:val="-2"/>
                      </w:rPr>
                      <w:t xml:space="preserve"> </w:t>
                    </w:r>
                    <w:r>
                      <w:rPr>
                        <w:spacing w:val="-10"/>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792937"/>
    <w:multiLevelType w:val="hybridMultilevel"/>
    <w:tmpl w:val="16DA0EB2"/>
    <w:lvl w:ilvl="0">
      <w:start w:val="1"/>
      <w:numFmt w:val="decimal"/>
      <w:lvlText w:val="(%1)"/>
      <w:lvlJc w:val="left"/>
      <w:pPr>
        <w:ind w:left="315" w:hanging="358"/>
      </w:pPr>
      <w:rPr>
        <w:rFonts w:ascii="Times New Roman" w:eastAsia="Times New Roman" w:hAnsi="Times New Roman" w:cs="Times New Roman" w:hint="default"/>
        <w:b w:val="0"/>
        <w:bCs w:val="0"/>
        <w:i w:val="0"/>
        <w:iCs w:val="0"/>
        <w:spacing w:val="-1"/>
        <w:w w:val="100"/>
        <w:sz w:val="16"/>
        <w:szCs w:val="16"/>
        <w:lang w:val="en-US" w:eastAsia="en-US" w:bidi="ar-SA"/>
      </w:rPr>
    </w:lvl>
    <w:lvl w:ilvl="1">
      <w:start w:val="1"/>
      <w:numFmt w:val="decimal"/>
      <w:lvlText w:val="%2."/>
      <w:lvlJc w:val="left"/>
      <w:pPr>
        <w:ind w:left="913" w:hanging="360"/>
      </w:pPr>
      <w:rPr>
        <w:rFonts w:ascii="Arial" w:eastAsia="Arial" w:hAnsi="Arial" w:cs="Arial" w:hint="default"/>
        <w:b w:val="0"/>
        <w:bCs w:val="0"/>
        <w:i w:val="0"/>
        <w:iCs w:val="0"/>
        <w:spacing w:val="-1"/>
        <w:w w:val="99"/>
        <w:sz w:val="20"/>
        <w:szCs w:val="20"/>
        <w:lang w:val="en-US" w:eastAsia="en-US" w:bidi="ar-SA"/>
      </w:rPr>
    </w:lvl>
    <w:lvl w:ilvl="2">
      <w:start w:val="1"/>
      <w:numFmt w:val="lowerLetter"/>
      <w:lvlText w:val="(%3)"/>
      <w:lvlJc w:val="left"/>
      <w:pPr>
        <w:ind w:left="887" w:hanging="360"/>
      </w:pPr>
      <w:rPr>
        <w:rFonts w:ascii="Arial" w:eastAsia="Arial" w:hAnsi="Arial" w:cs="Arial" w:hint="default"/>
        <w:b/>
        <w:bCs/>
        <w:i w:val="0"/>
        <w:iCs w:val="0"/>
        <w:spacing w:val="-1"/>
        <w:w w:val="99"/>
        <w:sz w:val="20"/>
        <w:szCs w:val="20"/>
        <w:lang w:val="en-US" w:eastAsia="en-US" w:bidi="ar-SA"/>
      </w:rPr>
    </w:lvl>
    <w:lvl w:ilvl="3">
      <w:start w:val="0"/>
      <w:numFmt w:val="bullet"/>
      <w:lvlText w:val="•"/>
      <w:lvlJc w:val="left"/>
      <w:pPr>
        <w:ind w:left="2020" w:hanging="360"/>
      </w:pPr>
      <w:rPr>
        <w:rFonts w:hint="default"/>
        <w:lang w:val="en-US" w:eastAsia="en-US" w:bidi="ar-SA"/>
      </w:rPr>
    </w:lvl>
    <w:lvl w:ilvl="4">
      <w:start w:val="0"/>
      <w:numFmt w:val="bullet"/>
      <w:lvlText w:val="•"/>
      <w:lvlJc w:val="left"/>
      <w:pPr>
        <w:ind w:left="3120" w:hanging="360"/>
      </w:pPr>
      <w:rPr>
        <w:rFonts w:hint="default"/>
        <w:lang w:val="en-US" w:eastAsia="en-US" w:bidi="ar-SA"/>
      </w:rPr>
    </w:lvl>
    <w:lvl w:ilvl="5">
      <w:start w:val="0"/>
      <w:numFmt w:val="bullet"/>
      <w:lvlText w:val="•"/>
      <w:lvlJc w:val="left"/>
      <w:pPr>
        <w:ind w:left="4220" w:hanging="360"/>
      </w:pPr>
      <w:rPr>
        <w:rFonts w:hint="default"/>
        <w:lang w:val="en-US" w:eastAsia="en-US" w:bidi="ar-SA"/>
      </w:rPr>
    </w:lvl>
    <w:lvl w:ilvl="6">
      <w:start w:val="0"/>
      <w:numFmt w:val="bullet"/>
      <w:lvlText w:val="•"/>
      <w:lvlJc w:val="left"/>
      <w:pPr>
        <w:ind w:left="5320" w:hanging="360"/>
      </w:pPr>
      <w:rPr>
        <w:rFonts w:hint="default"/>
        <w:lang w:val="en-US" w:eastAsia="en-US" w:bidi="ar-SA"/>
      </w:rPr>
    </w:lvl>
    <w:lvl w:ilvl="7">
      <w:start w:val="0"/>
      <w:numFmt w:val="bullet"/>
      <w:lvlText w:val="•"/>
      <w:lvlJc w:val="left"/>
      <w:pPr>
        <w:ind w:left="6420" w:hanging="360"/>
      </w:pPr>
      <w:rPr>
        <w:rFonts w:hint="default"/>
        <w:lang w:val="en-US" w:eastAsia="en-US" w:bidi="ar-SA"/>
      </w:rPr>
    </w:lvl>
    <w:lvl w:ilvl="8">
      <w:start w:val="0"/>
      <w:numFmt w:val="bullet"/>
      <w:lvlText w:val="•"/>
      <w:lvlJc w:val="left"/>
      <w:pPr>
        <w:ind w:left="7520" w:hanging="360"/>
      </w:pPr>
      <w:rPr>
        <w:rFonts w:hint="default"/>
        <w:lang w:val="en-US" w:eastAsia="en-US" w:bidi="ar-SA"/>
      </w:rPr>
    </w:lvl>
  </w:abstractNum>
  <w:abstractNum w:abstractNumId="1">
    <w:nsid w:val="16422278"/>
    <w:multiLevelType w:val="hybridMultilevel"/>
    <w:tmpl w:val="96BE9CE2"/>
    <w:lvl w:ilvl="0">
      <w:start w:val="1"/>
      <w:numFmt w:val="decimal"/>
      <w:lvlText w:val="(%1)"/>
      <w:lvlJc w:val="left"/>
      <w:pPr>
        <w:ind w:left="315" w:hanging="358"/>
      </w:pPr>
      <w:rPr>
        <w:rFonts w:ascii="Arial" w:eastAsia="Times New Roman" w:hAnsi="Arial" w:cs="Arial" w:hint="default"/>
        <w:b w:val="0"/>
        <w:bCs w:val="0"/>
        <w:i w:val="0"/>
        <w:iCs w:val="0"/>
        <w:spacing w:val="-1"/>
        <w:w w:val="100"/>
        <w:sz w:val="16"/>
        <w:szCs w:val="16"/>
        <w:lang w:val="en-US" w:eastAsia="en-US" w:bidi="ar-SA"/>
      </w:rPr>
    </w:lvl>
    <w:lvl w:ilvl="1">
      <w:start w:val="1"/>
      <w:numFmt w:val="decimal"/>
      <w:lvlText w:val="%2."/>
      <w:lvlJc w:val="left"/>
      <w:pPr>
        <w:ind w:left="913" w:hanging="360"/>
      </w:pPr>
      <w:rPr>
        <w:rFonts w:ascii="Arial" w:eastAsia="Arial" w:hAnsi="Arial" w:cs="Arial" w:hint="default"/>
        <w:b w:val="0"/>
        <w:bCs w:val="0"/>
        <w:i w:val="0"/>
        <w:iCs w:val="0"/>
        <w:spacing w:val="-1"/>
        <w:w w:val="99"/>
        <w:sz w:val="20"/>
        <w:szCs w:val="20"/>
        <w:lang w:val="en-US" w:eastAsia="en-US" w:bidi="ar-SA"/>
      </w:rPr>
    </w:lvl>
    <w:lvl w:ilvl="2">
      <w:start w:val="1"/>
      <w:numFmt w:val="lowerLetter"/>
      <w:lvlText w:val="(%3)"/>
      <w:lvlJc w:val="left"/>
      <w:pPr>
        <w:ind w:left="887" w:hanging="360"/>
      </w:pPr>
      <w:rPr>
        <w:rFonts w:ascii="Arial" w:eastAsia="Arial" w:hAnsi="Arial" w:cs="Arial" w:hint="default"/>
        <w:b/>
        <w:bCs/>
        <w:i w:val="0"/>
        <w:iCs w:val="0"/>
        <w:spacing w:val="-1"/>
        <w:w w:val="99"/>
        <w:sz w:val="20"/>
        <w:szCs w:val="20"/>
        <w:lang w:val="en-US" w:eastAsia="en-US" w:bidi="ar-SA"/>
      </w:rPr>
    </w:lvl>
    <w:lvl w:ilvl="3">
      <w:start w:val="0"/>
      <w:numFmt w:val="bullet"/>
      <w:lvlText w:val="•"/>
      <w:lvlJc w:val="left"/>
      <w:pPr>
        <w:ind w:left="2020" w:hanging="360"/>
      </w:pPr>
      <w:rPr>
        <w:rFonts w:hint="default"/>
        <w:lang w:val="en-US" w:eastAsia="en-US" w:bidi="ar-SA"/>
      </w:rPr>
    </w:lvl>
    <w:lvl w:ilvl="4">
      <w:start w:val="0"/>
      <w:numFmt w:val="bullet"/>
      <w:lvlText w:val="•"/>
      <w:lvlJc w:val="left"/>
      <w:pPr>
        <w:ind w:left="3120" w:hanging="360"/>
      </w:pPr>
      <w:rPr>
        <w:rFonts w:hint="default"/>
        <w:lang w:val="en-US" w:eastAsia="en-US" w:bidi="ar-SA"/>
      </w:rPr>
    </w:lvl>
    <w:lvl w:ilvl="5">
      <w:start w:val="0"/>
      <w:numFmt w:val="bullet"/>
      <w:lvlText w:val="•"/>
      <w:lvlJc w:val="left"/>
      <w:pPr>
        <w:ind w:left="4220" w:hanging="360"/>
      </w:pPr>
      <w:rPr>
        <w:rFonts w:hint="default"/>
        <w:lang w:val="en-US" w:eastAsia="en-US" w:bidi="ar-SA"/>
      </w:rPr>
    </w:lvl>
    <w:lvl w:ilvl="6">
      <w:start w:val="0"/>
      <w:numFmt w:val="bullet"/>
      <w:lvlText w:val="•"/>
      <w:lvlJc w:val="left"/>
      <w:pPr>
        <w:ind w:left="5320" w:hanging="360"/>
      </w:pPr>
      <w:rPr>
        <w:rFonts w:hint="default"/>
        <w:lang w:val="en-US" w:eastAsia="en-US" w:bidi="ar-SA"/>
      </w:rPr>
    </w:lvl>
    <w:lvl w:ilvl="7">
      <w:start w:val="0"/>
      <w:numFmt w:val="bullet"/>
      <w:lvlText w:val="•"/>
      <w:lvlJc w:val="left"/>
      <w:pPr>
        <w:ind w:left="6420" w:hanging="360"/>
      </w:pPr>
      <w:rPr>
        <w:rFonts w:hint="default"/>
        <w:lang w:val="en-US" w:eastAsia="en-US" w:bidi="ar-SA"/>
      </w:rPr>
    </w:lvl>
    <w:lvl w:ilvl="8">
      <w:start w:val="0"/>
      <w:numFmt w:val="bullet"/>
      <w:lvlText w:val="•"/>
      <w:lvlJc w:val="left"/>
      <w:pPr>
        <w:ind w:left="7520" w:hanging="360"/>
      </w:pPr>
      <w:rPr>
        <w:rFonts w:hint="default"/>
        <w:lang w:val="en-US" w:eastAsia="en-US" w:bidi="ar-SA"/>
      </w:rPr>
    </w:lvl>
  </w:abstractNum>
  <w:abstractNum w:abstractNumId="2">
    <w:nsid w:val="1E6E1A9B"/>
    <w:multiLevelType w:val="multilevel"/>
    <w:tmpl w:val="9258A340"/>
    <w:name w:val="zzmpCircular||Circular|3|1|1|0|2|41||0|2|33||0|2|34||0|2|32||1|2|32||1|2|32||1|2|32||1|2|32||mpNA||"/>
    <w:lvl w:ilvl="0">
      <w:start w:val="1"/>
      <w:numFmt w:val="none"/>
      <w:pStyle w:val="CircularL1"/>
      <w:suff w:val="nothing"/>
      <w:lvlJc w:val="left"/>
      <w:pPr>
        <w:tabs>
          <w:tab w:val="num" w:pos="720"/>
        </w:tabs>
        <w:ind w:left="0" w:firstLine="0"/>
      </w:pPr>
      <w:rPr>
        <w:b/>
        <w:i w:val="0"/>
        <w:caps/>
        <w:smallCaps w:val="0"/>
        <w:color w:val="auto"/>
        <w:sz w:val="20"/>
        <w:u w:val="none"/>
      </w:rPr>
    </w:lvl>
    <w:lvl w:ilvl="1">
      <w:start w:val="1"/>
      <w:numFmt w:val="none"/>
      <w:lvlRestart w:val="0"/>
      <w:pStyle w:val="CircularL2"/>
      <w:suff w:val="nothing"/>
      <w:lvlJc w:val="left"/>
      <w:pPr>
        <w:tabs>
          <w:tab w:val="num" w:pos="720"/>
        </w:tabs>
        <w:ind w:left="0" w:firstLine="0"/>
      </w:pPr>
      <w:rPr>
        <w:b/>
        <w:i w:val="0"/>
        <w:caps w:val="0"/>
        <w:color w:val="auto"/>
        <w:sz w:val="20"/>
        <w:u w:val="none"/>
      </w:rPr>
    </w:lvl>
    <w:lvl w:ilvl="2">
      <w:start w:val="1"/>
      <w:numFmt w:val="none"/>
      <w:lvlRestart w:val="0"/>
      <w:pStyle w:val="CircularL3"/>
      <w:suff w:val="nothing"/>
      <w:lvlJc w:val="left"/>
      <w:pPr>
        <w:tabs>
          <w:tab w:val="num" w:pos="720"/>
        </w:tabs>
        <w:ind w:left="0" w:firstLine="0"/>
      </w:pPr>
      <w:rPr>
        <w:b w:val="0"/>
        <w:i/>
        <w:caps w:val="0"/>
        <w:color w:val="auto"/>
        <w:sz w:val="20"/>
        <w:u w:val="none"/>
      </w:rPr>
    </w:lvl>
    <w:lvl w:ilvl="3">
      <w:start w:val="1"/>
      <w:numFmt w:val="none"/>
      <w:lvlRestart w:val="0"/>
      <w:pStyle w:val="CircularL4"/>
      <w:suff w:val="nothing"/>
      <w:lvlJc w:val="left"/>
      <w:pPr>
        <w:tabs>
          <w:tab w:val="num" w:pos="1440"/>
        </w:tabs>
        <w:ind w:left="720" w:firstLine="0"/>
      </w:pPr>
      <w:rPr>
        <w:b w:val="0"/>
        <w:i w:val="0"/>
        <w:caps w:val="0"/>
        <w:color w:val="auto"/>
        <w:sz w:val="20"/>
        <w:u w:val="none"/>
      </w:rPr>
    </w:lvl>
    <w:lvl w:ilvl="4">
      <w:start w:val="1"/>
      <w:numFmt w:val="decimal"/>
      <w:pStyle w:val="CircularL5"/>
      <w:lvlText w:val="%5."/>
      <w:lvlJc w:val="left"/>
      <w:pPr>
        <w:tabs>
          <w:tab w:val="num" w:pos="720"/>
        </w:tabs>
        <w:ind w:left="720" w:hanging="720"/>
      </w:pPr>
      <w:rPr>
        <w:b w:val="0"/>
        <w:i w:val="0"/>
        <w:caps w:val="0"/>
        <w:color w:val="auto"/>
        <w:sz w:val="20"/>
        <w:u w:val="none"/>
      </w:rPr>
    </w:lvl>
    <w:lvl w:ilvl="5">
      <w:start w:val="1"/>
      <w:numFmt w:val="lowerLetter"/>
      <w:pStyle w:val="CircularL6"/>
      <w:lvlText w:val="(%6)"/>
      <w:lvlJc w:val="left"/>
      <w:pPr>
        <w:tabs>
          <w:tab w:val="num" w:pos="1440"/>
        </w:tabs>
        <w:ind w:left="1440" w:hanging="720"/>
      </w:pPr>
      <w:rPr>
        <w:b/>
        <w:i w:val="0"/>
        <w:caps w:val="0"/>
        <w:color w:val="auto"/>
        <w:sz w:val="20"/>
        <w:u w:val="none"/>
      </w:rPr>
    </w:lvl>
    <w:lvl w:ilvl="6">
      <w:start w:val="1"/>
      <w:numFmt w:val="lowerRoman"/>
      <w:pStyle w:val="CircularL7"/>
      <w:lvlText w:val="(%7)"/>
      <w:lvlJc w:val="left"/>
      <w:pPr>
        <w:tabs>
          <w:tab w:val="num" w:pos="2160"/>
        </w:tabs>
        <w:ind w:left="2160" w:hanging="720"/>
      </w:pPr>
      <w:rPr>
        <w:b w:val="0"/>
        <w:i w:val="0"/>
        <w:caps w:val="0"/>
        <w:color w:val="auto"/>
        <w:sz w:val="20"/>
        <w:u w:val="none"/>
      </w:rPr>
    </w:lvl>
    <w:lvl w:ilvl="7">
      <w:start w:val="1"/>
      <w:numFmt w:val="upperLetter"/>
      <w:pStyle w:val="CircularL8"/>
      <w:lvlText w:val="(%8)"/>
      <w:lvlJc w:val="left"/>
      <w:pPr>
        <w:tabs>
          <w:tab w:val="num" w:pos="2880"/>
        </w:tabs>
        <w:ind w:left="2880" w:hanging="720"/>
      </w:pPr>
      <w:rPr>
        <w:b w:val="0"/>
        <w:i w:val="0"/>
        <w:caps w:val="0"/>
        <w:color w:val="auto"/>
        <w:sz w:val="20"/>
        <w:u w:val="none"/>
      </w:rPr>
    </w:lvl>
    <w:lvl w:ilvl="8">
      <w:start w:val="1"/>
      <w:numFmt w:val="lowerRoman"/>
      <w:lvlText w:val="%9."/>
      <w:lvlJc w:val="left"/>
      <w:pPr>
        <w:tabs>
          <w:tab w:val="num" w:pos="3240"/>
        </w:tabs>
        <w:ind w:left="3240" w:hanging="360"/>
      </w:pPr>
    </w:lvl>
  </w:abstractNum>
  <w:abstractNum w:abstractNumId="3">
    <w:nsid w:val="2812752B"/>
    <w:multiLevelType w:val="hybridMultilevel"/>
    <w:tmpl w:val="C98C8F7C"/>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
    <w:nsid w:val="6AC67B79"/>
    <w:multiLevelType w:val="hybridMultilevel"/>
    <w:tmpl w:val="22604754"/>
    <w:lvl w:ilvl="0">
      <w:start w:val="0"/>
      <w:numFmt w:val="bullet"/>
      <w:lvlText w:val="•"/>
      <w:lvlJc w:val="left"/>
      <w:pPr>
        <w:ind w:left="900" w:hanging="360"/>
      </w:pPr>
      <w:rPr>
        <w:rFonts w:ascii="Arial" w:eastAsia="Arial" w:hAnsi="Arial" w:cs="Arial" w:hint="default"/>
        <w:b w:val="0"/>
        <w:bCs w:val="0"/>
        <w:i w:val="0"/>
        <w:iCs w:val="0"/>
        <w:w w:val="130"/>
        <w:sz w:val="20"/>
        <w:szCs w:val="20"/>
        <w:lang w:val="en-US" w:eastAsia="en-US" w:bidi="ar-SA"/>
      </w:rPr>
    </w:lvl>
    <w:lvl w:ilvl="1">
      <w:start w:val="0"/>
      <w:numFmt w:val="bullet"/>
      <w:lvlText w:val="•"/>
      <w:lvlJc w:val="left"/>
      <w:pPr>
        <w:ind w:left="1782" w:hanging="360"/>
      </w:pPr>
      <w:rPr>
        <w:rFonts w:hint="default"/>
        <w:lang w:val="en-US" w:eastAsia="en-US" w:bidi="ar-SA"/>
      </w:rPr>
    </w:lvl>
    <w:lvl w:ilvl="2">
      <w:start w:val="0"/>
      <w:numFmt w:val="bullet"/>
      <w:lvlText w:val="•"/>
      <w:lvlJc w:val="left"/>
      <w:pPr>
        <w:ind w:left="2664" w:hanging="360"/>
      </w:pPr>
      <w:rPr>
        <w:rFonts w:hint="default"/>
        <w:lang w:val="en-US" w:eastAsia="en-US" w:bidi="ar-SA"/>
      </w:rPr>
    </w:lvl>
    <w:lvl w:ilvl="3">
      <w:start w:val="0"/>
      <w:numFmt w:val="bullet"/>
      <w:lvlText w:val="•"/>
      <w:lvlJc w:val="left"/>
      <w:pPr>
        <w:ind w:left="3546" w:hanging="360"/>
      </w:pPr>
      <w:rPr>
        <w:rFonts w:hint="default"/>
        <w:lang w:val="en-US" w:eastAsia="en-US" w:bidi="ar-SA"/>
      </w:rPr>
    </w:lvl>
    <w:lvl w:ilvl="4">
      <w:start w:val="0"/>
      <w:numFmt w:val="bullet"/>
      <w:lvlText w:val="•"/>
      <w:lvlJc w:val="left"/>
      <w:pPr>
        <w:ind w:left="4428" w:hanging="360"/>
      </w:pPr>
      <w:rPr>
        <w:rFonts w:hint="default"/>
        <w:lang w:val="en-US" w:eastAsia="en-US" w:bidi="ar-SA"/>
      </w:rPr>
    </w:lvl>
    <w:lvl w:ilvl="5">
      <w:start w:val="0"/>
      <w:numFmt w:val="bullet"/>
      <w:lvlText w:val="•"/>
      <w:lvlJc w:val="left"/>
      <w:pPr>
        <w:ind w:left="5310" w:hanging="360"/>
      </w:pPr>
      <w:rPr>
        <w:rFonts w:hint="default"/>
        <w:lang w:val="en-US" w:eastAsia="en-US" w:bidi="ar-SA"/>
      </w:rPr>
    </w:lvl>
    <w:lvl w:ilvl="6">
      <w:start w:val="0"/>
      <w:numFmt w:val="bullet"/>
      <w:lvlText w:val="•"/>
      <w:lvlJc w:val="left"/>
      <w:pPr>
        <w:ind w:left="6192" w:hanging="360"/>
      </w:pPr>
      <w:rPr>
        <w:rFonts w:hint="default"/>
        <w:lang w:val="en-US" w:eastAsia="en-US" w:bidi="ar-SA"/>
      </w:rPr>
    </w:lvl>
    <w:lvl w:ilvl="7">
      <w:start w:val="0"/>
      <w:numFmt w:val="bullet"/>
      <w:lvlText w:val="•"/>
      <w:lvlJc w:val="left"/>
      <w:pPr>
        <w:ind w:left="7074" w:hanging="360"/>
      </w:pPr>
      <w:rPr>
        <w:rFonts w:hint="default"/>
        <w:lang w:val="en-US" w:eastAsia="en-US" w:bidi="ar-SA"/>
      </w:rPr>
    </w:lvl>
    <w:lvl w:ilvl="8">
      <w:start w:val="0"/>
      <w:numFmt w:val="bullet"/>
      <w:lvlText w:val="•"/>
      <w:lvlJc w:val="left"/>
      <w:pPr>
        <w:ind w:left="7956" w:hanging="360"/>
      </w:pPr>
      <w:rPr>
        <w:rFonts w:hint="default"/>
        <w:lang w:val="en-US" w:eastAsia="en-US" w:bidi="ar-SA"/>
      </w:rPr>
    </w:lvl>
  </w:abstractNum>
  <w:abstractNum w:abstractNumId="5">
    <w:nsid w:val="77C50ED1"/>
    <w:multiLevelType w:val="multilevel"/>
    <w:tmpl w:val="430A6098"/>
    <w:name w:val="zzmpExhibit||Exhibit|3|1|1|4|2|41||1|2|37||1|2|32||1|2|32||1|2|32||1|2|32||1|2|32||1|2|32||1|2|32||"/>
    <w:lvl w:ilvl="0">
      <w:start w:val="1"/>
      <w:numFmt w:val="upperLetter"/>
      <w:pStyle w:val="ExhibitL1"/>
      <w:suff w:val="nothing"/>
      <w:lvlText w:val="Appendix &quot;%1&quot;"/>
      <w:lvlJc w:val="left"/>
      <w:pPr>
        <w:tabs>
          <w:tab w:val="num" w:pos="720"/>
        </w:tabs>
        <w:ind w:left="0" w:firstLine="0"/>
      </w:pPr>
      <w:rPr>
        <w:rFonts w:ascii="Times New Roman" w:hAnsi="Times New Roman" w:cs="Times New Roman"/>
        <w:b/>
        <w:i w:val="0"/>
        <w:caps/>
        <w:smallCaps w:val="0"/>
        <w:color w:val="auto"/>
        <w:sz w:val="22"/>
        <w:u w:val="none"/>
      </w:rPr>
    </w:lvl>
    <w:lvl w:ilvl="1">
      <w:start w:val="1"/>
      <w:numFmt w:val="decimal"/>
      <w:pStyle w:val="ExhibitL2"/>
      <w:lvlText w:val="%2."/>
      <w:lvlJc w:val="left"/>
      <w:pPr>
        <w:tabs>
          <w:tab w:val="num" w:pos="720"/>
        </w:tabs>
        <w:ind w:left="720" w:hanging="720"/>
      </w:pPr>
      <w:rPr>
        <w:rFonts w:ascii="Times New Roman" w:hAnsi="Times New Roman" w:cs="Times New Roman"/>
        <w:b w:val="0"/>
        <w:i w:val="0"/>
        <w:caps w:val="0"/>
        <w:color w:val="auto"/>
        <w:sz w:val="22"/>
        <w:u w:val="none"/>
      </w:rPr>
    </w:lvl>
    <w:lvl w:ilvl="2">
      <w:start w:val="1"/>
      <w:numFmt w:val="lowerLetter"/>
      <w:pStyle w:val="ExhibitL3"/>
      <w:lvlText w:val="(%3)"/>
      <w:lvlJc w:val="left"/>
      <w:pPr>
        <w:tabs>
          <w:tab w:val="num" w:pos="1440"/>
        </w:tabs>
        <w:ind w:left="1440" w:hanging="720"/>
      </w:pPr>
      <w:rPr>
        <w:rFonts w:ascii="Arial" w:hAnsi="Arial" w:cs="Arial" w:hint="default"/>
        <w:b w:val="0"/>
        <w:i w:val="0"/>
        <w:caps w:val="0"/>
        <w:color w:val="auto"/>
        <w:sz w:val="20"/>
        <w:u w:val="none"/>
      </w:rPr>
    </w:lvl>
    <w:lvl w:ilvl="3">
      <w:start w:val="1"/>
      <w:numFmt w:val="lowerRoman"/>
      <w:pStyle w:val="ExhibitL4"/>
      <w:lvlText w:val="(%4)"/>
      <w:lvlJc w:val="left"/>
      <w:pPr>
        <w:tabs>
          <w:tab w:val="num" w:pos="2160"/>
        </w:tabs>
        <w:ind w:left="2160" w:hanging="720"/>
      </w:pPr>
      <w:rPr>
        <w:rFonts w:ascii="Times New Roman" w:hAnsi="Times New Roman" w:cs="Times New Roman"/>
        <w:b w:val="0"/>
        <w:i w:val="0"/>
        <w:caps w:val="0"/>
        <w:color w:val="auto"/>
        <w:sz w:val="20"/>
        <w:u w:val="none"/>
      </w:rPr>
    </w:lvl>
    <w:lvl w:ilvl="4">
      <w:start w:val="1"/>
      <w:numFmt w:val="upperLetter"/>
      <w:pStyle w:val="ExhibitL5"/>
      <w:lvlText w:val="(%5)"/>
      <w:lvlJc w:val="left"/>
      <w:pPr>
        <w:tabs>
          <w:tab w:val="num" w:pos="2880"/>
        </w:tabs>
        <w:ind w:left="2880" w:hanging="720"/>
      </w:pPr>
      <w:rPr>
        <w:rFonts w:ascii="Times New Roman" w:hAnsi="Times New Roman" w:cs="Times New Roman"/>
        <w:b w:val="0"/>
        <w:i w:val="0"/>
        <w:caps w:val="0"/>
        <w:color w:val="auto"/>
        <w:sz w:val="22"/>
        <w:u w:val="none"/>
      </w:rPr>
    </w:lvl>
    <w:lvl w:ilvl="5">
      <w:start w:val="1"/>
      <w:numFmt w:val="upperRoman"/>
      <w:pStyle w:val="ExhibitL6"/>
      <w:lvlText w:val="(%6)"/>
      <w:lvlJc w:val="left"/>
      <w:pPr>
        <w:tabs>
          <w:tab w:val="num" w:pos="3600"/>
        </w:tabs>
        <w:ind w:left="3600" w:hanging="720"/>
      </w:pPr>
      <w:rPr>
        <w:rFonts w:ascii="Times New Roman" w:hAnsi="Times New Roman" w:cs="Times New Roman"/>
        <w:b w:val="0"/>
        <w:i w:val="0"/>
        <w:caps w:val="0"/>
        <w:color w:val="auto"/>
        <w:sz w:val="22"/>
        <w:u w:val="none"/>
      </w:rPr>
    </w:lvl>
    <w:lvl w:ilvl="6">
      <w:start w:val="1"/>
      <w:numFmt w:val="lowerLetter"/>
      <w:pStyle w:val="ExhibitL7"/>
      <w:lvlText w:val="%7)"/>
      <w:lvlJc w:val="left"/>
      <w:pPr>
        <w:tabs>
          <w:tab w:val="num" w:pos="4320"/>
        </w:tabs>
        <w:ind w:left="4320" w:hanging="720"/>
      </w:pPr>
      <w:rPr>
        <w:rFonts w:ascii="Times New Roman" w:hAnsi="Times New Roman" w:cs="Times New Roman"/>
        <w:b w:val="0"/>
        <w:i w:val="0"/>
        <w:caps w:val="0"/>
        <w:color w:val="auto"/>
        <w:sz w:val="22"/>
        <w:u w:val="none"/>
      </w:rPr>
    </w:lvl>
    <w:lvl w:ilvl="7">
      <w:start w:val="1"/>
      <w:numFmt w:val="lowerRoman"/>
      <w:pStyle w:val="ExhibitL8"/>
      <w:lvlText w:val="%8)"/>
      <w:lvlJc w:val="left"/>
      <w:pPr>
        <w:tabs>
          <w:tab w:val="num" w:pos="5040"/>
        </w:tabs>
        <w:ind w:left="5040" w:hanging="720"/>
      </w:pPr>
      <w:rPr>
        <w:rFonts w:ascii="Times New Roman" w:hAnsi="Times New Roman" w:cs="Times New Roman"/>
        <w:b w:val="0"/>
        <w:i w:val="0"/>
        <w:caps w:val="0"/>
        <w:color w:val="auto"/>
        <w:sz w:val="22"/>
        <w:u w:val="none"/>
      </w:rPr>
    </w:lvl>
    <w:lvl w:ilvl="8">
      <w:start w:val="1"/>
      <w:numFmt w:val="decimal"/>
      <w:pStyle w:val="ExhibitL9"/>
      <w:lvlText w:val="%9)"/>
      <w:lvlJc w:val="left"/>
      <w:pPr>
        <w:tabs>
          <w:tab w:val="num" w:pos="5760"/>
        </w:tabs>
        <w:ind w:left="3240" w:hanging="360"/>
      </w:pPr>
      <w:rPr>
        <w:rFonts w:ascii="Times New Roman" w:hAnsi="Times New Roman" w:cs="Times New Roman"/>
        <w:b w:val="0"/>
        <w:i w:val="0"/>
        <w:caps w:val="0"/>
        <w:color w:val="auto"/>
        <w:sz w:val="22"/>
        <w:u w:val="none"/>
      </w:rPr>
    </w:lvl>
  </w:abstractNum>
  <w:num w:numId="1" w16cid:durableId="17126159">
    <w:abstractNumId w:val="1"/>
  </w:num>
  <w:num w:numId="2" w16cid:durableId="611934619">
    <w:abstractNumId w:val="4"/>
  </w:num>
  <w:num w:numId="3" w16cid:durableId="472142183">
    <w:abstractNumId w:val="3"/>
  </w:num>
  <w:num w:numId="4" w16cid:durableId="1719360003">
    <w:abstractNumId w:val="0"/>
  </w:num>
  <w:num w:numId="5" w16cid:durableId="1428892294">
    <w:abstractNumId w:val="2"/>
  </w:num>
  <w:num w:numId="6" w16cid:durableId="307367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A2D"/>
    <w:rsid w:val="00011787"/>
    <w:rsid w:val="00014CF4"/>
    <w:rsid w:val="000227A2"/>
    <w:rsid w:val="00027FEF"/>
    <w:rsid w:val="00031659"/>
    <w:rsid w:val="00035FCB"/>
    <w:rsid w:val="00043E22"/>
    <w:rsid w:val="0004442B"/>
    <w:rsid w:val="0004726D"/>
    <w:rsid w:val="000511AF"/>
    <w:rsid w:val="00055276"/>
    <w:rsid w:val="000564FD"/>
    <w:rsid w:val="0006219B"/>
    <w:rsid w:val="00071BFB"/>
    <w:rsid w:val="00073EC2"/>
    <w:rsid w:val="000751A8"/>
    <w:rsid w:val="00077C62"/>
    <w:rsid w:val="00092222"/>
    <w:rsid w:val="00095D20"/>
    <w:rsid w:val="000A752A"/>
    <w:rsid w:val="000B1F22"/>
    <w:rsid w:val="000B2D36"/>
    <w:rsid w:val="000C02AD"/>
    <w:rsid w:val="000C2C2E"/>
    <w:rsid w:val="000C5495"/>
    <w:rsid w:val="000C7D0A"/>
    <w:rsid w:val="000D1106"/>
    <w:rsid w:val="000D38F0"/>
    <w:rsid w:val="000D4644"/>
    <w:rsid w:val="000D5576"/>
    <w:rsid w:val="000D6382"/>
    <w:rsid w:val="000F2D85"/>
    <w:rsid w:val="000F6588"/>
    <w:rsid w:val="00101386"/>
    <w:rsid w:val="00104E80"/>
    <w:rsid w:val="00106D56"/>
    <w:rsid w:val="00110E20"/>
    <w:rsid w:val="001111BE"/>
    <w:rsid w:val="00113468"/>
    <w:rsid w:val="0011528C"/>
    <w:rsid w:val="00116E1C"/>
    <w:rsid w:val="00122FEA"/>
    <w:rsid w:val="001243AA"/>
    <w:rsid w:val="001260C9"/>
    <w:rsid w:val="00126814"/>
    <w:rsid w:val="00131FEC"/>
    <w:rsid w:val="00141B83"/>
    <w:rsid w:val="0014560A"/>
    <w:rsid w:val="0015686C"/>
    <w:rsid w:val="001571B8"/>
    <w:rsid w:val="001620BC"/>
    <w:rsid w:val="001662CB"/>
    <w:rsid w:val="001675DB"/>
    <w:rsid w:val="0017079E"/>
    <w:rsid w:val="00173002"/>
    <w:rsid w:val="00173536"/>
    <w:rsid w:val="0018384D"/>
    <w:rsid w:val="00186CC1"/>
    <w:rsid w:val="0019590A"/>
    <w:rsid w:val="001A1B52"/>
    <w:rsid w:val="001A45ED"/>
    <w:rsid w:val="001A60BF"/>
    <w:rsid w:val="001B72D2"/>
    <w:rsid w:val="001C3E14"/>
    <w:rsid w:val="001D0173"/>
    <w:rsid w:val="001D6D66"/>
    <w:rsid w:val="001E0B7A"/>
    <w:rsid w:val="001E1141"/>
    <w:rsid w:val="001E417B"/>
    <w:rsid w:val="001E54F1"/>
    <w:rsid w:val="001E62A4"/>
    <w:rsid w:val="001F1847"/>
    <w:rsid w:val="001F1B45"/>
    <w:rsid w:val="002111D0"/>
    <w:rsid w:val="002167C1"/>
    <w:rsid w:val="0021762B"/>
    <w:rsid w:val="002200FA"/>
    <w:rsid w:val="00240D70"/>
    <w:rsid w:val="002439D8"/>
    <w:rsid w:val="002517EF"/>
    <w:rsid w:val="002533AF"/>
    <w:rsid w:val="00261440"/>
    <w:rsid w:val="0026267A"/>
    <w:rsid w:val="00262E5C"/>
    <w:rsid w:val="00262F80"/>
    <w:rsid w:val="00270796"/>
    <w:rsid w:val="00271A2B"/>
    <w:rsid w:val="002726BA"/>
    <w:rsid w:val="00274A50"/>
    <w:rsid w:val="00275523"/>
    <w:rsid w:val="00280204"/>
    <w:rsid w:val="00282A1C"/>
    <w:rsid w:val="00282DFA"/>
    <w:rsid w:val="00282E93"/>
    <w:rsid w:val="00284FB7"/>
    <w:rsid w:val="00285920"/>
    <w:rsid w:val="002A1BE1"/>
    <w:rsid w:val="002A4FEE"/>
    <w:rsid w:val="002A5B05"/>
    <w:rsid w:val="002A69E8"/>
    <w:rsid w:val="002B1108"/>
    <w:rsid w:val="002C2F6F"/>
    <w:rsid w:val="002C3602"/>
    <w:rsid w:val="002D6384"/>
    <w:rsid w:val="002E00A1"/>
    <w:rsid w:val="002E24BA"/>
    <w:rsid w:val="002E3E2F"/>
    <w:rsid w:val="002E558C"/>
    <w:rsid w:val="002E5EDF"/>
    <w:rsid w:val="002F092B"/>
    <w:rsid w:val="002F51E0"/>
    <w:rsid w:val="002F7E9A"/>
    <w:rsid w:val="00300730"/>
    <w:rsid w:val="00300D90"/>
    <w:rsid w:val="003033D9"/>
    <w:rsid w:val="00303C51"/>
    <w:rsid w:val="00307017"/>
    <w:rsid w:val="00310EDB"/>
    <w:rsid w:val="00312B6C"/>
    <w:rsid w:val="00315906"/>
    <w:rsid w:val="00317C34"/>
    <w:rsid w:val="0032007F"/>
    <w:rsid w:val="00322FB8"/>
    <w:rsid w:val="00323281"/>
    <w:rsid w:val="003252BF"/>
    <w:rsid w:val="00331212"/>
    <w:rsid w:val="003314F9"/>
    <w:rsid w:val="0033441E"/>
    <w:rsid w:val="003375BD"/>
    <w:rsid w:val="00341085"/>
    <w:rsid w:val="00345ABD"/>
    <w:rsid w:val="00360921"/>
    <w:rsid w:val="003661B0"/>
    <w:rsid w:val="00375452"/>
    <w:rsid w:val="00375B7E"/>
    <w:rsid w:val="00376367"/>
    <w:rsid w:val="003814D2"/>
    <w:rsid w:val="003868B4"/>
    <w:rsid w:val="00391194"/>
    <w:rsid w:val="00391694"/>
    <w:rsid w:val="00391E98"/>
    <w:rsid w:val="00392E80"/>
    <w:rsid w:val="003945AD"/>
    <w:rsid w:val="00395000"/>
    <w:rsid w:val="0039682C"/>
    <w:rsid w:val="003A25FC"/>
    <w:rsid w:val="003B0000"/>
    <w:rsid w:val="003B56C7"/>
    <w:rsid w:val="003C0017"/>
    <w:rsid w:val="003C1B61"/>
    <w:rsid w:val="003C72B6"/>
    <w:rsid w:val="003D225D"/>
    <w:rsid w:val="003D46B7"/>
    <w:rsid w:val="003E1B44"/>
    <w:rsid w:val="003F1206"/>
    <w:rsid w:val="003F59D2"/>
    <w:rsid w:val="00400192"/>
    <w:rsid w:val="004060AB"/>
    <w:rsid w:val="004129DA"/>
    <w:rsid w:val="00414463"/>
    <w:rsid w:val="00415017"/>
    <w:rsid w:val="00417B96"/>
    <w:rsid w:val="00421CEA"/>
    <w:rsid w:val="00423698"/>
    <w:rsid w:val="00426DA7"/>
    <w:rsid w:val="00431969"/>
    <w:rsid w:val="00440E87"/>
    <w:rsid w:val="00440F8F"/>
    <w:rsid w:val="00441830"/>
    <w:rsid w:val="0045112C"/>
    <w:rsid w:val="004604DC"/>
    <w:rsid w:val="00461527"/>
    <w:rsid w:val="00465475"/>
    <w:rsid w:val="004708B4"/>
    <w:rsid w:val="00485E1A"/>
    <w:rsid w:val="00487679"/>
    <w:rsid w:val="00490AC8"/>
    <w:rsid w:val="00491D96"/>
    <w:rsid w:val="00494004"/>
    <w:rsid w:val="00495547"/>
    <w:rsid w:val="00495937"/>
    <w:rsid w:val="00497100"/>
    <w:rsid w:val="004B0F74"/>
    <w:rsid w:val="004B26E7"/>
    <w:rsid w:val="004B7627"/>
    <w:rsid w:val="004C13E0"/>
    <w:rsid w:val="004C6743"/>
    <w:rsid w:val="004C799B"/>
    <w:rsid w:val="004D2856"/>
    <w:rsid w:val="004D7A2D"/>
    <w:rsid w:val="004E3E87"/>
    <w:rsid w:val="004E47D4"/>
    <w:rsid w:val="004E60A6"/>
    <w:rsid w:val="004F3218"/>
    <w:rsid w:val="00501FC0"/>
    <w:rsid w:val="0050531A"/>
    <w:rsid w:val="00520052"/>
    <w:rsid w:val="00523042"/>
    <w:rsid w:val="005237F8"/>
    <w:rsid w:val="00523B43"/>
    <w:rsid w:val="00524135"/>
    <w:rsid w:val="00533890"/>
    <w:rsid w:val="005344D5"/>
    <w:rsid w:val="00547C5F"/>
    <w:rsid w:val="00553723"/>
    <w:rsid w:val="00554340"/>
    <w:rsid w:val="0055648E"/>
    <w:rsid w:val="00561F2E"/>
    <w:rsid w:val="00564581"/>
    <w:rsid w:val="005702A5"/>
    <w:rsid w:val="00572F6C"/>
    <w:rsid w:val="00576D82"/>
    <w:rsid w:val="0058707E"/>
    <w:rsid w:val="005906CE"/>
    <w:rsid w:val="00590C86"/>
    <w:rsid w:val="005963B5"/>
    <w:rsid w:val="0059760E"/>
    <w:rsid w:val="005A0788"/>
    <w:rsid w:val="005A6B64"/>
    <w:rsid w:val="005A6F11"/>
    <w:rsid w:val="005B588E"/>
    <w:rsid w:val="005C7160"/>
    <w:rsid w:val="005D2CF9"/>
    <w:rsid w:val="005D408E"/>
    <w:rsid w:val="005D5C47"/>
    <w:rsid w:val="005D6EFF"/>
    <w:rsid w:val="005D741E"/>
    <w:rsid w:val="005D7BD2"/>
    <w:rsid w:val="005E1036"/>
    <w:rsid w:val="005E242B"/>
    <w:rsid w:val="005E715D"/>
    <w:rsid w:val="005E7202"/>
    <w:rsid w:val="005E7DC4"/>
    <w:rsid w:val="005F39B7"/>
    <w:rsid w:val="005F3A92"/>
    <w:rsid w:val="005F5003"/>
    <w:rsid w:val="00603DCC"/>
    <w:rsid w:val="006103EE"/>
    <w:rsid w:val="00610908"/>
    <w:rsid w:val="006147A0"/>
    <w:rsid w:val="0061576D"/>
    <w:rsid w:val="00625B8B"/>
    <w:rsid w:val="00632540"/>
    <w:rsid w:val="0063353E"/>
    <w:rsid w:val="0064291A"/>
    <w:rsid w:val="00642F83"/>
    <w:rsid w:val="006440A6"/>
    <w:rsid w:val="006462B2"/>
    <w:rsid w:val="00646B11"/>
    <w:rsid w:val="0065729D"/>
    <w:rsid w:val="006603ED"/>
    <w:rsid w:val="006605F7"/>
    <w:rsid w:val="00660786"/>
    <w:rsid w:val="00661EDD"/>
    <w:rsid w:val="00663040"/>
    <w:rsid w:val="0066739D"/>
    <w:rsid w:val="006779DF"/>
    <w:rsid w:val="00680196"/>
    <w:rsid w:val="00681EEF"/>
    <w:rsid w:val="00690CC7"/>
    <w:rsid w:val="00692DA7"/>
    <w:rsid w:val="006A50CF"/>
    <w:rsid w:val="006B3C2E"/>
    <w:rsid w:val="006B3F41"/>
    <w:rsid w:val="006B4C9F"/>
    <w:rsid w:val="006B578A"/>
    <w:rsid w:val="006C2BDD"/>
    <w:rsid w:val="006C74AE"/>
    <w:rsid w:val="006D0672"/>
    <w:rsid w:val="006E1045"/>
    <w:rsid w:val="006E66AC"/>
    <w:rsid w:val="006F1056"/>
    <w:rsid w:val="006F66F8"/>
    <w:rsid w:val="006F7470"/>
    <w:rsid w:val="007015FB"/>
    <w:rsid w:val="00701C25"/>
    <w:rsid w:val="007043CF"/>
    <w:rsid w:val="00705A33"/>
    <w:rsid w:val="007147B6"/>
    <w:rsid w:val="007251D8"/>
    <w:rsid w:val="00726BCE"/>
    <w:rsid w:val="00730A8B"/>
    <w:rsid w:val="00734389"/>
    <w:rsid w:val="00734479"/>
    <w:rsid w:val="007361FD"/>
    <w:rsid w:val="007370B0"/>
    <w:rsid w:val="0074517A"/>
    <w:rsid w:val="00756D2F"/>
    <w:rsid w:val="00757B14"/>
    <w:rsid w:val="00761F8F"/>
    <w:rsid w:val="00763FB2"/>
    <w:rsid w:val="00774CE2"/>
    <w:rsid w:val="00782D24"/>
    <w:rsid w:val="0078525F"/>
    <w:rsid w:val="007855C8"/>
    <w:rsid w:val="00793238"/>
    <w:rsid w:val="00793D46"/>
    <w:rsid w:val="007956F1"/>
    <w:rsid w:val="007959B2"/>
    <w:rsid w:val="00797361"/>
    <w:rsid w:val="007A4138"/>
    <w:rsid w:val="007B4070"/>
    <w:rsid w:val="007B698D"/>
    <w:rsid w:val="007C2B4C"/>
    <w:rsid w:val="007D0CBF"/>
    <w:rsid w:val="007D16E3"/>
    <w:rsid w:val="007D2C25"/>
    <w:rsid w:val="007D41A2"/>
    <w:rsid w:val="007E3EFA"/>
    <w:rsid w:val="007E6144"/>
    <w:rsid w:val="007F5A55"/>
    <w:rsid w:val="007F5F83"/>
    <w:rsid w:val="00801FE3"/>
    <w:rsid w:val="008031D3"/>
    <w:rsid w:val="00805C1A"/>
    <w:rsid w:val="0081303C"/>
    <w:rsid w:val="00813E79"/>
    <w:rsid w:val="00823D9F"/>
    <w:rsid w:val="00823E0B"/>
    <w:rsid w:val="00831CA2"/>
    <w:rsid w:val="00833AB5"/>
    <w:rsid w:val="00841A90"/>
    <w:rsid w:val="00842629"/>
    <w:rsid w:val="00842F96"/>
    <w:rsid w:val="008464B3"/>
    <w:rsid w:val="00850FC5"/>
    <w:rsid w:val="008524AE"/>
    <w:rsid w:val="00852972"/>
    <w:rsid w:val="0085342B"/>
    <w:rsid w:val="00862024"/>
    <w:rsid w:val="008656C7"/>
    <w:rsid w:val="00865AF3"/>
    <w:rsid w:val="008753E4"/>
    <w:rsid w:val="00890B60"/>
    <w:rsid w:val="008A07BC"/>
    <w:rsid w:val="008A62DD"/>
    <w:rsid w:val="008B3BEC"/>
    <w:rsid w:val="008B4C13"/>
    <w:rsid w:val="008B5122"/>
    <w:rsid w:val="008C3C97"/>
    <w:rsid w:val="008C5848"/>
    <w:rsid w:val="008D0C62"/>
    <w:rsid w:val="008D0FB5"/>
    <w:rsid w:val="008D26ED"/>
    <w:rsid w:val="008D482C"/>
    <w:rsid w:val="008D69D0"/>
    <w:rsid w:val="008D727F"/>
    <w:rsid w:val="008F5DD4"/>
    <w:rsid w:val="00903CBA"/>
    <w:rsid w:val="0091468A"/>
    <w:rsid w:val="009156A3"/>
    <w:rsid w:val="00921011"/>
    <w:rsid w:val="00925D0C"/>
    <w:rsid w:val="00931C08"/>
    <w:rsid w:val="00933118"/>
    <w:rsid w:val="0093649B"/>
    <w:rsid w:val="00946BE5"/>
    <w:rsid w:val="009531E4"/>
    <w:rsid w:val="00953FB6"/>
    <w:rsid w:val="00954CCB"/>
    <w:rsid w:val="00955DBA"/>
    <w:rsid w:val="009624ED"/>
    <w:rsid w:val="009652FF"/>
    <w:rsid w:val="00975437"/>
    <w:rsid w:val="009835F1"/>
    <w:rsid w:val="0099666F"/>
    <w:rsid w:val="009A170C"/>
    <w:rsid w:val="009A220C"/>
    <w:rsid w:val="009A33AB"/>
    <w:rsid w:val="009A6244"/>
    <w:rsid w:val="009A63DE"/>
    <w:rsid w:val="009B6571"/>
    <w:rsid w:val="009B6838"/>
    <w:rsid w:val="009C6A76"/>
    <w:rsid w:val="009D1B18"/>
    <w:rsid w:val="009D1C13"/>
    <w:rsid w:val="009D34F7"/>
    <w:rsid w:val="009D52FA"/>
    <w:rsid w:val="009D5A45"/>
    <w:rsid w:val="009F03E7"/>
    <w:rsid w:val="009F5F5B"/>
    <w:rsid w:val="00A00228"/>
    <w:rsid w:val="00A07153"/>
    <w:rsid w:val="00A077D2"/>
    <w:rsid w:val="00A11AF5"/>
    <w:rsid w:val="00A132C3"/>
    <w:rsid w:val="00A15EDB"/>
    <w:rsid w:val="00A15FB1"/>
    <w:rsid w:val="00A236B4"/>
    <w:rsid w:val="00A25653"/>
    <w:rsid w:val="00A277B0"/>
    <w:rsid w:val="00A277ED"/>
    <w:rsid w:val="00A304A4"/>
    <w:rsid w:val="00A338CE"/>
    <w:rsid w:val="00A349C2"/>
    <w:rsid w:val="00A475A1"/>
    <w:rsid w:val="00A479A7"/>
    <w:rsid w:val="00A51AA1"/>
    <w:rsid w:val="00A522E7"/>
    <w:rsid w:val="00A54142"/>
    <w:rsid w:val="00A54909"/>
    <w:rsid w:val="00A56805"/>
    <w:rsid w:val="00A57A0E"/>
    <w:rsid w:val="00A65636"/>
    <w:rsid w:val="00A67CA4"/>
    <w:rsid w:val="00A73342"/>
    <w:rsid w:val="00A80FE8"/>
    <w:rsid w:val="00A85142"/>
    <w:rsid w:val="00A85CE9"/>
    <w:rsid w:val="00A91C7F"/>
    <w:rsid w:val="00A95D60"/>
    <w:rsid w:val="00A975D8"/>
    <w:rsid w:val="00AA4804"/>
    <w:rsid w:val="00AB4C36"/>
    <w:rsid w:val="00AB5365"/>
    <w:rsid w:val="00AB5678"/>
    <w:rsid w:val="00AB6883"/>
    <w:rsid w:val="00AC01B3"/>
    <w:rsid w:val="00AC1765"/>
    <w:rsid w:val="00AC2DB5"/>
    <w:rsid w:val="00AD27A7"/>
    <w:rsid w:val="00AD34EE"/>
    <w:rsid w:val="00AD53DC"/>
    <w:rsid w:val="00AE4A7F"/>
    <w:rsid w:val="00AE77AB"/>
    <w:rsid w:val="00AF197F"/>
    <w:rsid w:val="00AF23EF"/>
    <w:rsid w:val="00AF317A"/>
    <w:rsid w:val="00AF4773"/>
    <w:rsid w:val="00AF6299"/>
    <w:rsid w:val="00AF6934"/>
    <w:rsid w:val="00B00833"/>
    <w:rsid w:val="00B00BDF"/>
    <w:rsid w:val="00B06E85"/>
    <w:rsid w:val="00B14634"/>
    <w:rsid w:val="00B318BD"/>
    <w:rsid w:val="00B375C0"/>
    <w:rsid w:val="00B44B72"/>
    <w:rsid w:val="00B5081F"/>
    <w:rsid w:val="00B556B7"/>
    <w:rsid w:val="00B62838"/>
    <w:rsid w:val="00B6560D"/>
    <w:rsid w:val="00B75C7D"/>
    <w:rsid w:val="00B80160"/>
    <w:rsid w:val="00B874B5"/>
    <w:rsid w:val="00BA2DB2"/>
    <w:rsid w:val="00BA3339"/>
    <w:rsid w:val="00BA703C"/>
    <w:rsid w:val="00BB164C"/>
    <w:rsid w:val="00BB26C7"/>
    <w:rsid w:val="00BB4F7C"/>
    <w:rsid w:val="00BB670D"/>
    <w:rsid w:val="00BB7639"/>
    <w:rsid w:val="00BC25C1"/>
    <w:rsid w:val="00BC30EA"/>
    <w:rsid w:val="00BC4311"/>
    <w:rsid w:val="00BC5D23"/>
    <w:rsid w:val="00BC78F2"/>
    <w:rsid w:val="00BD0FC4"/>
    <w:rsid w:val="00BD7F3B"/>
    <w:rsid w:val="00BE06E7"/>
    <w:rsid w:val="00BE1065"/>
    <w:rsid w:val="00BE495F"/>
    <w:rsid w:val="00BF3581"/>
    <w:rsid w:val="00BF6123"/>
    <w:rsid w:val="00C02154"/>
    <w:rsid w:val="00C1168B"/>
    <w:rsid w:val="00C11CA1"/>
    <w:rsid w:val="00C16947"/>
    <w:rsid w:val="00C235C0"/>
    <w:rsid w:val="00C41756"/>
    <w:rsid w:val="00C4583D"/>
    <w:rsid w:val="00C46898"/>
    <w:rsid w:val="00C534F8"/>
    <w:rsid w:val="00C63F46"/>
    <w:rsid w:val="00C64889"/>
    <w:rsid w:val="00C71B73"/>
    <w:rsid w:val="00C75AF7"/>
    <w:rsid w:val="00C76430"/>
    <w:rsid w:val="00C84A07"/>
    <w:rsid w:val="00C93EFC"/>
    <w:rsid w:val="00C94744"/>
    <w:rsid w:val="00C95491"/>
    <w:rsid w:val="00CB21A5"/>
    <w:rsid w:val="00CB364C"/>
    <w:rsid w:val="00CB38A0"/>
    <w:rsid w:val="00CB4FCF"/>
    <w:rsid w:val="00CB5ECB"/>
    <w:rsid w:val="00CC06E8"/>
    <w:rsid w:val="00CC145D"/>
    <w:rsid w:val="00CC6514"/>
    <w:rsid w:val="00CC68F1"/>
    <w:rsid w:val="00CD1C62"/>
    <w:rsid w:val="00CD45C0"/>
    <w:rsid w:val="00CD4C68"/>
    <w:rsid w:val="00CD53C4"/>
    <w:rsid w:val="00CE0221"/>
    <w:rsid w:val="00CE6508"/>
    <w:rsid w:val="00CF24CC"/>
    <w:rsid w:val="00D02194"/>
    <w:rsid w:val="00D041F9"/>
    <w:rsid w:val="00D05072"/>
    <w:rsid w:val="00D10B20"/>
    <w:rsid w:val="00D10CF8"/>
    <w:rsid w:val="00D137AE"/>
    <w:rsid w:val="00D139AE"/>
    <w:rsid w:val="00D20CD5"/>
    <w:rsid w:val="00D23CD4"/>
    <w:rsid w:val="00D25CC3"/>
    <w:rsid w:val="00D30E57"/>
    <w:rsid w:val="00D34AB3"/>
    <w:rsid w:val="00D402C1"/>
    <w:rsid w:val="00D41502"/>
    <w:rsid w:val="00D45DC3"/>
    <w:rsid w:val="00D51D27"/>
    <w:rsid w:val="00D66399"/>
    <w:rsid w:val="00D666CC"/>
    <w:rsid w:val="00D66BFA"/>
    <w:rsid w:val="00D8238A"/>
    <w:rsid w:val="00D85689"/>
    <w:rsid w:val="00D953A8"/>
    <w:rsid w:val="00DA139B"/>
    <w:rsid w:val="00DA1B74"/>
    <w:rsid w:val="00DA2B94"/>
    <w:rsid w:val="00DA3435"/>
    <w:rsid w:val="00DA3D46"/>
    <w:rsid w:val="00DA4BFF"/>
    <w:rsid w:val="00DA5154"/>
    <w:rsid w:val="00DB7DEE"/>
    <w:rsid w:val="00DD6F70"/>
    <w:rsid w:val="00DE0922"/>
    <w:rsid w:val="00DE66E0"/>
    <w:rsid w:val="00DF1E57"/>
    <w:rsid w:val="00DF4958"/>
    <w:rsid w:val="00E1066C"/>
    <w:rsid w:val="00E10CAE"/>
    <w:rsid w:val="00E1400D"/>
    <w:rsid w:val="00E14F16"/>
    <w:rsid w:val="00E17533"/>
    <w:rsid w:val="00E241DF"/>
    <w:rsid w:val="00E243AF"/>
    <w:rsid w:val="00E333F0"/>
    <w:rsid w:val="00E33834"/>
    <w:rsid w:val="00E343B8"/>
    <w:rsid w:val="00E351AD"/>
    <w:rsid w:val="00E36786"/>
    <w:rsid w:val="00E4335A"/>
    <w:rsid w:val="00E4699E"/>
    <w:rsid w:val="00E47D90"/>
    <w:rsid w:val="00E50746"/>
    <w:rsid w:val="00E55D20"/>
    <w:rsid w:val="00E60462"/>
    <w:rsid w:val="00E6689D"/>
    <w:rsid w:val="00E71BCC"/>
    <w:rsid w:val="00E73E7C"/>
    <w:rsid w:val="00E771C4"/>
    <w:rsid w:val="00E77E3D"/>
    <w:rsid w:val="00E814B2"/>
    <w:rsid w:val="00E86128"/>
    <w:rsid w:val="00E87131"/>
    <w:rsid w:val="00E943CA"/>
    <w:rsid w:val="00EA4E56"/>
    <w:rsid w:val="00EA5CB6"/>
    <w:rsid w:val="00EB02C1"/>
    <w:rsid w:val="00EB49EB"/>
    <w:rsid w:val="00EB7DF0"/>
    <w:rsid w:val="00EC09CF"/>
    <w:rsid w:val="00EC19E1"/>
    <w:rsid w:val="00EC6273"/>
    <w:rsid w:val="00ED0696"/>
    <w:rsid w:val="00ED119A"/>
    <w:rsid w:val="00ED276F"/>
    <w:rsid w:val="00ED2B6E"/>
    <w:rsid w:val="00ED3651"/>
    <w:rsid w:val="00ED7784"/>
    <w:rsid w:val="00ED7E4E"/>
    <w:rsid w:val="00EE2C9C"/>
    <w:rsid w:val="00EF3638"/>
    <w:rsid w:val="00EF3F7B"/>
    <w:rsid w:val="00EF451B"/>
    <w:rsid w:val="00F024D7"/>
    <w:rsid w:val="00F03277"/>
    <w:rsid w:val="00F04E85"/>
    <w:rsid w:val="00F06A3C"/>
    <w:rsid w:val="00F07F6A"/>
    <w:rsid w:val="00F11387"/>
    <w:rsid w:val="00F12707"/>
    <w:rsid w:val="00F13F6B"/>
    <w:rsid w:val="00F17E1A"/>
    <w:rsid w:val="00F31C56"/>
    <w:rsid w:val="00F32F70"/>
    <w:rsid w:val="00F40CAF"/>
    <w:rsid w:val="00F41116"/>
    <w:rsid w:val="00F42BA1"/>
    <w:rsid w:val="00F47A05"/>
    <w:rsid w:val="00F50BC2"/>
    <w:rsid w:val="00F535B2"/>
    <w:rsid w:val="00F56B8B"/>
    <w:rsid w:val="00F622AE"/>
    <w:rsid w:val="00F651E4"/>
    <w:rsid w:val="00F81F87"/>
    <w:rsid w:val="00F821A0"/>
    <w:rsid w:val="00F82373"/>
    <w:rsid w:val="00F83385"/>
    <w:rsid w:val="00F87FBE"/>
    <w:rsid w:val="00F90210"/>
    <w:rsid w:val="00F9627D"/>
    <w:rsid w:val="00FA47FF"/>
    <w:rsid w:val="00FB4C63"/>
    <w:rsid w:val="00FB6D3C"/>
    <w:rsid w:val="00FD0054"/>
    <w:rsid w:val="00FD27A6"/>
    <w:rsid w:val="00FD5975"/>
    <w:rsid w:val="00FD7516"/>
    <w:rsid w:val="00FE27B2"/>
    <w:rsid w:val="00FE3ACC"/>
    <w:rsid w:val="00FE6045"/>
    <w:rsid w:val="00FF2B3B"/>
    <w:rsid w:val="00FF2E71"/>
    <w:rsid w:val="00FF62D2"/>
  </w:rsids>
  <m:mathPr>
    <m:mathFont m:val="Cambria Math"/>
  </m:mathPr>
  <w:themeFontLang w:val="en-CA"/>
  <w:clrSchemeMapping w:bg1="light1" w:t1="dark1" w:bg2="light2" w:t2="dark2" w:accent1="accent1" w:accent2="accent2" w:accent3="accent3" w:accent4="accent4" w:accent5="accent5" w:accent6="accent6" w:hyperlink="hyperlink" w:followedHyperlink="followedHyperlink"/>
  <w:doNotIncludeSubdocsInStats/>
  <w14:docId w14:val="77041453"/>
  <w15:docId w15:val="{33EE93A2-5254-154A-9BA4-C7965D4EA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04" w:right="1506"/>
      <w:jc w:val="center"/>
      <w:outlineLvl w:val="0"/>
    </w:pPr>
    <w:rPr>
      <w:b/>
      <w:bCs/>
      <w:sz w:val="20"/>
      <w:szCs w:val="20"/>
    </w:rPr>
  </w:style>
  <w:style w:type="paragraph" w:styleId="Heading2">
    <w:name w:val="heading 2"/>
    <w:basedOn w:val="Normal"/>
    <w:next w:val="Normal"/>
    <w:link w:val="Heading2Char"/>
    <w:uiPriority w:val="9"/>
    <w:semiHidden/>
    <w:unhideWhenUsed/>
    <w:qFormat/>
    <w:rsid w:val="00282D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uiPriority w:val="9"/>
    <w:semiHidden/>
    <w:unhideWhenUsed/>
    <w:qFormat/>
    <w:rsid w:val="001A60B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00" w:hanging="360"/>
    </w:pPr>
  </w:style>
  <w:style w:type="paragraph" w:customStyle="1" w:styleId="TableParagraph">
    <w:name w:val="Table Paragraph"/>
    <w:basedOn w:val="Normal"/>
    <w:uiPriority w:val="1"/>
    <w:qFormat/>
    <w:pPr>
      <w:spacing w:before="119"/>
      <w:ind w:left="107"/>
    </w:pPr>
  </w:style>
  <w:style w:type="character" w:styleId="CommentReference">
    <w:name w:val="annotation reference"/>
    <w:basedOn w:val="DefaultParagraphFont"/>
    <w:uiPriority w:val="99"/>
    <w:semiHidden/>
    <w:unhideWhenUsed/>
    <w:rsid w:val="002E3E2F"/>
    <w:rPr>
      <w:sz w:val="16"/>
      <w:szCs w:val="16"/>
    </w:rPr>
  </w:style>
  <w:style w:type="paragraph" w:styleId="CommentText">
    <w:name w:val="annotation text"/>
    <w:basedOn w:val="Normal"/>
    <w:link w:val="CommentTextChar"/>
    <w:uiPriority w:val="99"/>
    <w:unhideWhenUsed/>
    <w:rsid w:val="002E3E2F"/>
    <w:rPr>
      <w:sz w:val="20"/>
      <w:szCs w:val="20"/>
    </w:rPr>
  </w:style>
  <w:style w:type="character" w:customStyle="1" w:styleId="CommentTextChar">
    <w:name w:val="Comment Text Char"/>
    <w:basedOn w:val="DefaultParagraphFont"/>
    <w:link w:val="CommentText"/>
    <w:uiPriority w:val="99"/>
    <w:rsid w:val="002E3E2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E3E2F"/>
    <w:rPr>
      <w:b/>
      <w:bCs/>
    </w:rPr>
  </w:style>
  <w:style w:type="character" w:customStyle="1" w:styleId="CommentSubjectChar">
    <w:name w:val="Comment Subject Char"/>
    <w:basedOn w:val="CommentTextChar"/>
    <w:link w:val="CommentSubject"/>
    <w:uiPriority w:val="99"/>
    <w:semiHidden/>
    <w:rsid w:val="002E3E2F"/>
    <w:rPr>
      <w:rFonts w:ascii="Arial" w:eastAsia="Arial" w:hAnsi="Arial" w:cs="Arial"/>
      <w:b/>
      <w:bCs/>
      <w:sz w:val="20"/>
      <w:szCs w:val="20"/>
    </w:rPr>
  </w:style>
  <w:style w:type="paragraph" w:styleId="Revision">
    <w:name w:val="Revision"/>
    <w:hidden/>
    <w:uiPriority w:val="99"/>
    <w:semiHidden/>
    <w:rsid w:val="002E3E2F"/>
    <w:pPr>
      <w:widowControl/>
      <w:autoSpaceDE/>
      <w:autoSpaceDN/>
    </w:pPr>
    <w:rPr>
      <w:rFonts w:ascii="Arial" w:eastAsia="Arial" w:hAnsi="Arial" w:cs="Arial"/>
    </w:rPr>
  </w:style>
  <w:style w:type="paragraph" w:styleId="Header">
    <w:name w:val="header"/>
    <w:basedOn w:val="Normal"/>
    <w:link w:val="HeaderChar"/>
    <w:uiPriority w:val="99"/>
    <w:unhideWhenUsed/>
    <w:rsid w:val="00763FB2"/>
    <w:pPr>
      <w:tabs>
        <w:tab w:val="center" w:pos="4680"/>
        <w:tab w:val="right" w:pos="9360"/>
      </w:tabs>
    </w:pPr>
  </w:style>
  <w:style w:type="character" w:customStyle="1" w:styleId="HeaderChar">
    <w:name w:val="Header Char"/>
    <w:basedOn w:val="DefaultParagraphFont"/>
    <w:link w:val="Header"/>
    <w:uiPriority w:val="99"/>
    <w:rsid w:val="00763FB2"/>
    <w:rPr>
      <w:rFonts w:ascii="Arial" w:eastAsia="Arial" w:hAnsi="Arial" w:cs="Arial"/>
    </w:rPr>
  </w:style>
  <w:style w:type="paragraph" w:styleId="Footer">
    <w:name w:val="footer"/>
    <w:basedOn w:val="Normal"/>
    <w:link w:val="FooterChar"/>
    <w:uiPriority w:val="99"/>
    <w:unhideWhenUsed/>
    <w:rsid w:val="00763FB2"/>
    <w:pPr>
      <w:tabs>
        <w:tab w:val="center" w:pos="4680"/>
        <w:tab w:val="right" w:pos="9360"/>
      </w:tabs>
    </w:pPr>
  </w:style>
  <w:style w:type="character" w:customStyle="1" w:styleId="FooterChar">
    <w:name w:val="Footer Char"/>
    <w:basedOn w:val="DefaultParagraphFont"/>
    <w:link w:val="Footer"/>
    <w:uiPriority w:val="99"/>
    <w:rsid w:val="00763FB2"/>
    <w:rPr>
      <w:rFonts w:ascii="Arial" w:eastAsia="Arial" w:hAnsi="Arial" w:cs="Arial"/>
    </w:rPr>
  </w:style>
  <w:style w:type="character" w:customStyle="1" w:styleId="DocID">
    <w:name w:val="DocID"/>
    <w:basedOn w:val="DefaultParagraphFont"/>
    <w:rsid w:val="00763FB2"/>
    <w:rPr>
      <w:rFonts w:ascii="Times New Roman" w:hAnsi="Times New Roman" w:cs="Times New Roman"/>
      <w:b w:val="0"/>
      <w:i w:val="0"/>
      <w:caps w:val="0"/>
      <w:vanish w:val="0"/>
      <w:color w:val="000000"/>
      <w:sz w:val="16"/>
      <w:u w:val="none"/>
    </w:rPr>
  </w:style>
  <w:style w:type="table" w:styleId="TableGrid">
    <w:name w:val="Table Grid"/>
    <w:basedOn w:val="TableNormal"/>
    <w:uiPriority w:val="59"/>
    <w:rsid w:val="00DA139B"/>
    <w:pPr>
      <w:widowControl/>
      <w:autoSpaceDE/>
      <w:autoSpaceDN/>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rcularL1">
    <w:name w:val="Circular_L1"/>
    <w:basedOn w:val="Normal"/>
    <w:next w:val="CircularL2"/>
    <w:rsid w:val="00DA139B"/>
    <w:pPr>
      <w:keepNext/>
      <w:widowControl/>
      <w:numPr>
        <w:numId w:val="5"/>
      </w:numPr>
      <w:autoSpaceDE/>
      <w:autoSpaceDN/>
      <w:spacing w:before="240" w:after="240"/>
      <w:jc w:val="center"/>
      <w:outlineLvl w:val="0"/>
    </w:pPr>
    <w:rPr>
      <w:rFonts w:ascii="Times New Roman" w:eastAsia="Times New Roman" w:hAnsi="Times New Roman" w:cs="Times New Roman"/>
      <w:b/>
      <w:caps/>
      <w:sz w:val="20"/>
      <w:szCs w:val="20"/>
    </w:rPr>
  </w:style>
  <w:style w:type="paragraph" w:customStyle="1" w:styleId="CircularL2">
    <w:name w:val="Circular_L2"/>
    <w:basedOn w:val="CircularL1"/>
    <w:link w:val="CircularL2Char"/>
    <w:rsid w:val="00DA139B"/>
    <w:pPr>
      <w:numPr>
        <w:ilvl w:val="1"/>
      </w:numPr>
      <w:spacing w:before="0"/>
      <w:jc w:val="both"/>
      <w:outlineLvl w:val="1"/>
    </w:pPr>
    <w:rPr>
      <w:caps w:val="0"/>
    </w:rPr>
  </w:style>
  <w:style w:type="character" w:customStyle="1" w:styleId="CircularL2Char">
    <w:name w:val="Circular_L2 Char"/>
    <w:basedOn w:val="DefaultParagraphFont"/>
    <w:link w:val="CircularL2"/>
    <w:rsid w:val="00DA139B"/>
    <w:rPr>
      <w:rFonts w:ascii="Times New Roman" w:eastAsia="Times New Roman" w:hAnsi="Times New Roman" w:cs="Times New Roman"/>
      <w:b/>
      <w:sz w:val="20"/>
      <w:szCs w:val="20"/>
    </w:rPr>
  </w:style>
  <w:style w:type="paragraph" w:customStyle="1" w:styleId="CircularL3">
    <w:name w:val="Circular_L3"/>
    <w:basedOn w:val="CircularL2"/>
    <w:rsid w:val="00DA139B"/>
    <w:pPr>
      <w:numPr>
        <w:ilvl w:val="2"/>
      </w:numPr>
      <w:tabs>
        <w:tab w:val="num" w:pos="360"/>
        <w:tab w:val="clear" w:pos="720"/>
      </w:tabs>
      <w:jc w:val="left"/>
      <w:outlineLvl w:val="2"/>
    </w:pPr>
    <w:rPr>
      <w:b w:val="0"/>
      <w:i/>
    </w:rPr>
  </w:style>
  <w:style w:type="paragraph" w:customStyle="1" w:styleId="CircularL4">
    <w:name w:val="Circular_L4"/>
    <w:basedOn w:val="CircularL3"/>
    <w:rsid w:val="00DA139B"/>
    <w:pPr>
      <w:numPr>
        <w:ilvl w:val="3"/>
      </w:numPr>
      <w:tabs>
        <w:tab w:val="num" w:pos="360"/>
        <w:tab w:val="clear" w:pos="1440"/>
      </w:tabs>
      <w:outlineLvl w:val="3"/>
    </w:pPr>
    <w:rPr>
      <w:i w:val="0"/>
    </w:rPr>
  </w:style>
  <w:style w:type="paragraph" w:customStyle="1" w:styleId="CircularL5">
    <w:name w:val="Circular_L5"/>
    <w:basedOn w:val="CircularL4"/>
    <w:rsid w:val="00DA139B"/>
    <w:pPr>
      <w:keepNext w:val="0"/>
      <w:numPr>
        <w:ilvl w:val="4"/>
      </w:numPr>
      <w:tabs>
        <w:tab w:val="num" w:pos="360"/>
        <w:tab w:val="clear" w:pos="720"/>
      </w:tabs>
      <w:jc w:val="both"/>
      <w:outlineLvl w:val="4"/>
    </w:pPr>
  </w:style>
  <w:style w:type="paragraph" w:customStyle="1" w:styleId="CircularL6">
    <w:name w:val="Circular_L6"/>
    <w:basedOn w:val="CircularL5"/>
    <w:rsid w:val="00DA139B"/>
    <w:pPr>
      <w:numPr>
        <w:ilvl w:val="5"/>
      </w:numPr>
      <w:tabs>
        <w:tab w:val="num" w:pos="360"/>
        <w:tab w:val="clear" w:pos="1440"/>
      </w:tabs>
      <w:outlineLvl w:val="5"/>
    </w:pPr>
  </w:style>
  <w:style w:type="paragraph" w:customStyle="1" w:styleId="CircularL7">
    <w:name w:val="Circular_L7"/>
    <w:basedOn w:val="CircularL6"/>
    <w:rsid w:val="00DA139B"/>
    <w:pPr>
      <w:numPr>
        <w:ilvl w:val="6"/>
      </w:numPr>
      <w:tabs>
        <w:tab w:val="num" w:pos="360"/>
        <w:tab w:val="clear" w:pos="2160"/>
      </w:tabs>
      <w:outlineLvl w:val="6"/>
    </w:pPr>
  </w:style>
  <w:style w:type="paragraph" w:customStyle="1" w:styleId="CircularL8">
    <w:name w:val="Circular_L8"/>
    <w:basedOn w:val="CircularL7"/>
    <w:rsid w:val="00DA139B"/>
    <w:pPr>
      <w:numPr>
        <w:ilvl w:val="7"/>
      </w:numPr>
      <w:tabs>
        <w:tab w:val="num" w:pos="360"/>
        <w:tab w:val="clear" w:pos="2880"/>
      </w:tabs>
      <w:outlineLvl w:val="7"/>
    </w:pPr>
  </w:style>
  <w:style w:type="character" w:customStyle="1" w:styleId="Heading2Char">
    <w:name w:val="Heading 2 Char"/>
    <w:basedOn w:val="DefaultParagraphFont"/>
    <w:link w:val="Heading2"/>
    <w:uiPriority w:val="9"/>
    <w:semiHidden/>
    <w:rsid w:val="00282DFA"/>
    <w:rPr>
      <w:rFonts w:asciiTheme="majorHAnsi" w:eastAsiaTheme="majorEastAsia" w:hAnsiTheme="majorHAnsi" w:cstheme="majorBidi"/>
      <w:color w:val="365F91" w:themeColor="accent1" w:themeShade="BF"/>
      <w:sz w:val="26"/>
      <w:szCs w:val="26"/>
    </w:rPr>
  </w:style>
  <w:style w:type="paragraph" w:customStyle="1" w:styleId="ExhibitCont1">
    <w:name w:val="Exhibit Cont 1"/>
    <w:basedOn w:val="Normal"/>
    <w:link w:val="ExhibitCont1Char"/>
    <w:rsid w:val="00AD27A7"/>
    <w:pPr>
      <w:widowControl/>
      <w:autoSpaceDE/>
      <w:autoSpaceDN/>
      <w:spacing w:after="240" w:line="259" w:lineRule="auto"/>
      <w:jc w:val="both"/>
    </w:pPr>
    <w:rPr>
      <w:rFonts w:ascii="Times New Roman" w:eastAsia="Times New Roman" w:hAnsi="Times New Roman" w:cs="Times New Roman"/>
      <w:szCs w:val="20"/>
    </w:rPr>
  </w:style>
  <w:style w:type="character" w:customStyle="1" w:styleId="ExhibitCont1Char">
    <w:name w:val="Exhibit Cont 1 Char"/>
    <w:basedOn w:val="DefaultParagraphFont"/>
    <w:link w:val="ExhibitCont1"/>
    <w:rsid w:val="00AD27A7"/>
    <w:rPr>
      <w:rFonts w:ascii="Times New Roman" w:eastAsia="Times New Roman" w:hAnsi="Times New Roman" w:cs="Times New Roman"/>
      <w:szCs w:val="20"/>
    </w:rPr>
  </w:style>
  <w:style w:type="paragraph" w:customStyle="1" w:styleId="ExhibitL1">
    <w:name w:val="Exhibit_L1"/>
    <w:basedOn w:val="Normal"/>
    <w:link w:val="ExhibitL1Char"/>
    <w:rsid w:val="00AD27A7"/>
    <w:pPr>
      <w:keepNext/>
      <w:widowControl/>
      <w:numPr>
        <w:numId w:val="6"/>
      </w:numPr>
      <w:autoSpaceDE/>
      <w:autoSpaceDN/>
      <w:spacing w:after="240" w:line="259" w:lineRule="auto"/>
      <w:jc w:val="center"/>
      <w:outlineLvl w:val="0"/>
    </w:pPr>
    <w:rPr>
      <w:rFonts w:ascii="Times New Roman" w:eastAsia="Times New Roman" w:hAnsi="Times New Roman" w:cs="Times New Roman"/>
      <w:b/>
      <w:caps/>
      <w:szCs w:val="20"/>
    </w:rPr>
  </w:style>
  <w:style w:type="character" w:customStyle="1" w:styleId="ExhibitL1Char">
    <w:name w:val="Exhibit_L1 Char"/>
    <w:basedOn w:val="DefaultParagraphFont"/>
    <w:link w:val="ExhibitL1"/>
    <w:rsid w:val="00AD27A7"/>
    <w:rPr>
      <w:rFonts w:ascii="Times New Roman" w:eastAsia="Times New Roman" w:hAnsi="Times New Roman" w:cs="Times New Roman"/>
      <w:b/>
      <w:caps/>
      <w:szCs w:val="20"/>
    </w:rPr>
  </w:style>
  <w:style w:type="paragraph" w:customStyle="1" w:styleId="ExhibitL2">
    <w:name w:val="Exhibit_L2"/>
    <w:basedOn w:val="ExhibitL1"/>
    <w:rsid w:val="00AD27A7"/>
    <w:pPr>
      <w:numPr>
        <w:ilvl w:val="1"/>
      </w:numPr>
      <w:jc w:val="both"/>
      <w:outlineLvl w:val="1"/>
    </w:pPr>
    <w:rPr>
      <w:caps w:val="0"/>
      <w:u w:val="single"/>
    </w:rPr>
  </w:style>
  <w:style w:type="paragraph" w:customStyle="1" w:styleId="ExhibitL3">
    <w:name w:val="Exhibit_L3"/>
    <w:basedOn w:val="ExhibitL2"/>
    <w:link w:val="ExhibitL3Char"/>
    <w:rsid w:val="00AD27A7"/>
    <w:pPr>
      <w:keepNext w:val="0"/>
      <w:numPr>
        <w:ilvl w:val="2"/>
      </w:numPr>
      <w:outlineLvl w:val="2"/>
    </w:pPr>
    <w:rPr>
      <w:b w:val="0"/>
      <w:u w:val="none"/>
    </w:rPr>
  </w:style>
  <w:style w:type="character" w:customStyle="1" w:styleId="ExhibitL3Char">
    <w:name w:val="Exhibit_L3 Char"/>
    <w:basedOn w:val="DefaultParagraphFont"/>
    <w:link w:val="ExhibitL3"/>
    <w:rsid w:val="00AD27A7"/>
    <w:rPr>
      <w:rFonts w:ascii="Times New Roman" w:eastAsia="Times New Roman" w:hAnsi="Times New Roman" w:cs="Times New Roman"/>
      <w:szCs w:val="20"/>
    </w:rPr>
  </w:style>
  <w:style w:type="paragraph" w:customStyle="1" w:styleId="ExhibitL4">
    <w:name w:val="Exhibit_L4"/>
    <w:basedOn w:val="ExhibitL3"/>
    <w:link w:val="ExhibitL4Char"/>
    <w:rsid w:val="00AD27A7"/>
    <w:pPr>
      <w:numPr>
        <w:ilvl w:val="3"/>
      </w:numPr>
      <w:outlineLvl w:val="3"/>
    </w:pPr>
  </w:style>
  <w:style w:type="character" w:customStyle="1" w:styleId="ExhibitL4Char">
    <w:name w:val="Exhibit_L4 Char"/>
    <w:basedOn w:val="DefaultParagraphFont"/>
    <w:link w:val="ExhibitL4"/>
    <w:rsid w:val="00AD27A7"/>
    <w:rPr>
      <w:rFonts w:ascii="Times New Roman" w:eastAsia="Times New Roman" w:hAnsi="Times New Roman" w:cs="Times New Roman"/>
      <w:szCs w:val="20"/>
    </w:rPr>
  </w:style>
  <w:style w:type="paragraph" w:customStyle="1" w:styleId="ExhibitL5">
    <w:name w:val="Exhibit_L5"/>
    <w:basedOn w:val="ExhibitL4"/>
    <w:rsid w:val="00AD27A7"/>
    <w:pPr>
      <w:numPr>
        <w:ilvl w:val="4"/>
      </w:numPr>
      <w:tabs>
        <w:tab w:val="num" w:pos="360"/>
        <w:tab w:val="clear" w:pos="2880"/>
      </w:tabs>
      <w:ind w:left="1800" w:hanging="360"/>
      <w:outlineLvl w:val="4"/>
    </w:pPr>
  </w:style>
  <w:style w:type="paragraph" w:customStyle="1" w:styleId="ExhibitL6">
    <w:name w:val="Exhibit_L6"/>
    <w:basedOn w:val="ExhibitL5"/>
    <w:rsid w:val="00AD27A7"/>
    <w:pPr>
      <w:numPr>
        <w:ilvl w:val="5"/>
      </w:numPr>
      <w:tabs>
        <w:tab w:val="num" w:pos="360"/>
        <w:tab w:val="clear" w:pos="3600"/>
      </w:tabs>
      <w:ind w:left="2160" w:hanging="360"/>
      <w:outlineLvl w:val="5"/>
    </w:pPr>
  </w:style>
  <w:style w:type="paragraph" w:customStyle="1" w:styleId="ExhibitL7">
    <w:name w:val="Exhibit_L7"/>
    <w:basedOn w:val="ExhibitL6"/>
    <w:rsid w:val="00AD27A7"/>
    <w:pPr>
      <w:numPr>
        <w:ilvl w:val="6"/>
      </w:numPr>
      <w:tabs>
        <w:tab w:val="num" w:pos="360"/>
        <w:tab w:val="clear" w:pos="4320"/>
      </w:tabs>
      <w:ind w:left="2520" w:hanging="360"/>
      <w:outlineLvl w:val="6"/>
    </w:pPr>
  </w:style>
  <w:style w:type="paragraph" w:customStyle="1" w:styleId="ExhibitL8">
    <w:name w:val="Exhibit_L8"/>
    <w:basedOn w:val="ExhibitL7"/>
    <w:rsid w:val="00AD27A7"/>
    <w:pPr>
      <w:numPr>
        <w:ilvl w:val="7"/>
      </w:numPr>
      <w:tabs>
        <w:tab w:val="num" w:pos="360"/>
        <w:tab w:val="clear" w:pos="5040"/>
      </w:tabs>
      <w:ind w:left="2880" w:hanging="360"/>
      <w:outlineLvl w:val="7"/>
    </w:pPr>
  </w:style>
  <w:style w:type="paragraph" w:customStyle="1" w:styleId="ExhibitL9">
    <w:name w:val="Exhibit_L9"/>
    <w:basedOn w:val="ExhibitL8"/>
    <w:rsid w:val="00AD27A7"/>
    <w:pPr>
      <w:numPr>
        <w:ilvl w:val="8"/>
      </w:numPr>
      <w:tabs>
        <w:tab w:val="num" w:pos="360"/>
        <w:tab w:val="clear" w:pos="5760"/>
      </w:tabs>
      <w:outlineLvl w:val="8"/>
    </w:pPr>
  </w:style>
  <w:style w:type="paragraph" w:styleId="FootnoteText">
    <w:name w:val="footnote text"/>
    <w:basedOn w:val="Normal"/>
    <w:link w:val="FootnoteTextChar"/>
    <w:uiPriority w:val="99"/>
    <w:semiHidden/>
    <w:unhideWhenUsed/>
    <w:rsid w:val="00AF23EF"/>
    <w:rPr>
      <w:sz w:val="20"/>
      <w:szCs w:val="20"/>
    </w:rPr>
  </w:style>
  <w:style w:type="character" w:customStyle="1" w:styleId="FootnoteTextChar">
    <w:name w:val="Footnote Text Char"/>
    <w:basedOn w:val="DefaultParagraphFont"/>
    <w:link w:val="FootnoteText"/>
    <w:uiPriority w:val="99"/>
    <w:semiHidden/>
    <w:rsid w:val="00AF23EF"/>
    <w:rPr>
      <w:rFonts w:ascii="Arial" w:eastAsia="Arial" w:hAnsi="Arial" w:cs="Arial"/>
      <w:sz w:val="20"/>
      <w:szCs w:val="20"/>
    </w:rPr>
  </w:style>
  <w:style w:type="character" w:styleId="FootnoteReference">
    <w:name w:val="footnote reference"/>
    <w:basedOn w:val="DefaultParagraphFont"/>
    <w:uiPriority w:val="99"/>
    <w:semiHidden/>
    <w:unhideWhenUsed/>
    <w:rsid w:val="00AF23EF"/>
    <w:rPr>
      <w:vertAlign w:val="superscript"/>
    </w:rPr>
  </w:style>
  <w:style w:type="character" w:styleId="Hyperlink">
    <w:name w:val="Hyperlink"/>
    <w:basedOn w:val="DefaultParagraphFont"/>
    <w:uiPriority w:val="99"/>
    <w:unhideWhenUsed/>
    <w:rsid w:val="00465475"/>
    <w:rPr>
      <w:color w:val="0000FF" w:themeColor="hyperlink"/>
      <w:u w:val="single"/>
    </w:rPr>
  </w:style>
  <w:style w:type="character" w:styleId="UnresolvedMention">
    <w:name w:val="Unresolved Mention"/>
    <w:basedOn w:val="DefaultParagraphFont"/>
    <w:uiPriority w:val="99"/>
    <w:semiHidden/>
    <w:unhideWhenUsed/>
    <w:rsid w:val="00465475"/>
    <w:rPr>
      <w:color w:val="605E5C"/>
      <w:shd w:val="clear" w:color="auto" w:fill="E1DFDD"/>
    </w:rPr>
  </w:style>
  <w:style w:type="character" w:styleId="FollowedHyperlink">
    <w:name w:val="FollowedHyperlink"/>
    <w:basedOn w:val="DefaultParagraphFont"/>
    <w:uiPriority w:val="99"/>
    <w:semiHidden/>
    <w:unhideWhenUsed/>
    <w:rsid w:val="00391E98"/>
    <w:rPr>
      <w:color w:val="800080" w:themeColor="followedHyperlink"/>
      <w:u w:val="single"/>
    </w:rPr>
  </w:style>
  <w:style w:type="paragraph" w:customStyle="1" w:styleId="paragraph">
    <w:name w:val="paragraph"/>
    <w:basedOn w:val="Normal"/>
    <w:rsid w:val="00681EEF"/>
    <w:pPr>
      <w:widowControl/>
      <w:autoSpaceDE/>
      <w:autoSpaceDN/>
      <w:spacing w:before="100" w:beforeAutospacing="1" w:after="100" w:afterAutospacing="1" w:line="360" w:lineRule="auto"/>
      <w:jc w:val="both"/>
    </w:pPr>
    <w:rPr>
      <w:rFonts w:ascii="Times New Roman" w:eastAsia="Times New Roman" w:hAnsi="Times New Roman" w:cs="Times New Roman"/>
      <w:sz w:val="24"/>
    </w:rPr>
  </w:style>
  <w:style w:type="character" w:customStyle="1" w:styleId="Heading8Char">
    <w:name w:val="Heading 8 Char"/>
    <w:basedOn w:val="DefaultParagraphFont"/>
    <w:link w:val="Heading8"/>
    <w:uiPriority w:val="9"/>
    <w:semiHidden/>
    <w:rsid w:val="001A60BF"/>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www.imanage.com/work/xmlschema">
  <documentid>LEGAL!77593149.4</documentid>
  <senderid>BFAST</senderid>
  <senderemail>BFAST@COZEN.COM</senderemail>
  <lastmodified>2025-05-16T10:37:00.0000000-07:00</lastmodified>
  <database>LEGAL</database>
</properties>
</file>

<file path=customXml/itemProps1.xml><?xml version="1.0" encoding="utf-8"?>
<ds:datastoreItem xmlns:ds="http://schemas.openxmlformats.org/officeDocument/2006/customXml" ds:itemID="{03DD7685-57DC-4D7E-A099-B58111467530}">
  <ds:schemaRefs>
    <ds:schemaRef ds:uri="http://schemas.openxmlformats.org/officeDocument/2006/bibliography"/>
  </ds:schemaRefs>
</ds:datastoreItem>
</file>

<file path=customXml/itemProps2.xml><?xml version="1.0" encoding="utf-8"?>
<ds:datastoreItem xmlns:ds="http://schemas.openxmlformats.org/officeDocument/2006/customXml" ds:itemID="{FF6488CB-23FA-474B-98C6-A114193636D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3111</Words>
  <Characters>17736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2025-05-16T17:57:12Z</dcterms:created>
  <dcterms:modified xsi:type="dcterms:W3CDTF">2025-05-16T17:57:12Z</dcterms:modified>
</cp:coreProperties>
</file>